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73878" w14:textId="77777777" w:rsidR="00394AFB" w:rsidRDefault="00394AFB" w:rsidP="003D6EB5">
      <w:pPr>
        <w:pStyle w:val="Figure"/>
      </w:pPr>
      <w:r>
        <w:rPr>
          <w:noProof/>
        </w:rPr>
        <w:drawing>
          <wp:inline distT="0" distB="0" distL="0" distR="0" wp14:anchorId="6FCF344C" wp14:editId="7B1636BA">
            <wp:extent cx="5814695" cy="5590432"/>
            <wp:effectExtent l="12700" t="12700" r="14605" b="10795"/>
            <wp:docPr id="186142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2577" name="Picture 18614257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61931" cy="5635846"/>
                    </a:xfrm>
                    <a:prstGeom prst="rect">
                      <a:avLst/>
                    </a:prstGeom>
                    <a:ln>
                      <a:solidFill>
                        <a:srgbClr val="000000"/>
                      </a:solidFill>
                    </a:ln>
                  </pic:spPr>
                </pic:pic>
              </a:graphicData>
            </a:graphic>
          </wp:inline>
        </w:drawing>
      </w:r>
    </w:p>
    <w:p w14:paraId="1B4E2DA9" w14:textId="4ABA2214" w:rsidR="00D90131" w:rsidRPr="00394AFB" w:rsidRDefault="003D6EB5" w:rsidP="003D6EB5">
      <w:pPr>
        <w:pStyle w:val="Figurecaption"/>
        <w:rPr>
          <w:i/>
          <w:iCs/>
        </w:rPr>
      </w:pPr>
      <w:r w:rsidRPr="003D6EB5">
        <w:rPr>
          <w:b/>
        </w:rPr>
        <w:t xml:space="preserve">Supplementary Fig. </w:t>
      </w:r>
      <w:r w:rsidR="00C037C4" w:rsidRPr="003D6EB5">
        <w:rPr>
          <w:b/>
          <w:noProof/>
        </w:rPr>
        <w:t>1</w:t>
      </w:r>
      <w:r w:rsidR="00394AFB" w:rsidRPr="003D6EB5">
        <w:rPr>
          <w:b/>
        </w:rPr>
        <w:t>. Identified MDS vs. healthy individuals gene sets of OXPHOS pathway among independent multiple MDS cohorts.</w:t>
      </w:r>
      <w:r w:rsidR="00394AFB" w:rsidRPr="00394AFB">
        <w:t xml:space="preserve"> </w:t>
      </w:r>
      <w:r w:rsidR="00394AFB">
        <w:t>The h</w:t>
      </w:r>
      <w:r w:rsidR="00394AFB" w:rsidRPr="00394AFB">
        <w:t>eatmap shows the discrimination of patients with MDS vs. healthy individuals based on the topmost enriched gene sets in the OXPHOS pathway.</w:t>
      </w:r>
    </w:p>
    <w:p w14:paraId="213A6C9C" w14:textId="77777777" w:rsidR="00D90131" w:rsidRDefault="00D90131" w:rsidP="003D6EB5">
      <w:pPr>
        <w:pStyle w:val="Text"/>
        <w:ind w:firstLine="420"/>
      </w:pPr>
    </w:p>
    <w:p w14:paraId="596569B2" w14:textId="77777777" w:rsidR="00C037C4" w:rsidRDefault="00C037C4" w:rsidP="003D6EB5">
      <w:pPr>
        <w:pStyle w:val="Text"/>
        <w:ind w:firstLine="420"/>
      </w:pPr>
    </w:p>
    <w:p w14:paraId="2294C761" w14:textId="77777777" w:rsidR="00C037C4" w:rsidRDefault="00C037C4" w:rsidP="003D6EB5">
      <w:pPr>
        <w:pStyle w:val="Figure"/>
      </w:pPr>
      <w:r>
        <w:rPr>
          <w:noProof/>
        </w:rPr>
        <w:lastRenderedPageBreak/>
        <w:drawing>
          <wp:inline distT="0" distB="0" distL="0" distR="0" wp14:anchorId="1E3E65CC" wp14:editId="5AD4100F">
            <wp:extent cx="5584080" cy="4810509"/>
            <wp:effectExtent l="12700" t="12700" r="17145" b="15875"/>
            <wp:docPr id="63737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7085" name="Picture 63737085"/>
                    <pic:cNvPicPr/>
                  </pic:nvPicPr>
                  <pic:blipFill>
                    <a:blip r:embed="rId7">
                      <a:extLst>
                        <a:ext uri="{28A0092B-C50C-407E-A947-70E740481C1C}">
                          <a14:useLocalDpi xmlns:a14="http://schemas.microsoft.com/office/drawing/2010/main" val="0"/>
                        </a:ext>
                      </a:extLst>
                    </a:blip>
                    <a:stretch>
                      <a:fillRect/>
                    </a:stretch>
                  </pic:blipFill>
                  <pic:spPr>
                    <a:xfrm>
                      <a:off x="0" y="0"/>
                      <a:ext cx="5609797" cy="4832664"/>
                    </a:xfrm>
                    <a:prstGeom prst="rect">
                      <a:avLst/>
                    </a:prstGeom>
                    <a:ln>
                      <a:solidFill>
                        <a:srgbClr val="000000"/>
                      </a:solidFill>
                    </a:ln>
                  </pic:spPr>
                </pic:pic>
              </a:graphicData>
            </a:graphic>
          </wp:inline>
        </w:drawing>
      </w:r>
    </w:p>
    <w:p w14:paraId="40B1956D" w14:textId="1090A0CA" w:rsidR="00C037C4" w:rsidRPr="00C037C4" w:rsidRDefault="003D6EB5" w:rsidP="003D6EB5">
      <w:pPr>
        <w:pStyle w:val="Figurecaption"/>
        <w:rPr>
          <w:i/>
          <w:iCs/>
        </w:rPr>
      </w:pPr>
      <w:r w:rsidRPr="003D6EB5">
        <w:rPr>
          <w:b/>
        </w:rPr>
        <w:t>Supplementary Fig.</w:t>
      </w:r>
      <w:r w:rsidRPr="003D6EB5">
        <w:rPr>
          <w:b/>
          <w:i/>
          <w:iCs/>
        </w:rPr>
        <w:t xml:space="preserve"> </w:t>
      </w:r>
      <w:r w:rsidR="00C037C4" w:rsidRPr="003D6EB5">
        <w:rPr>
          <w:b/>
          <w:noProof/>
        </w:rPr>
        <w:t>2</w:t>
      </w:r>
      <w:r w:rsidR="00C037C4" w:rsidRPr="003D6EB5">
        <w:rPr>
          <w:b/>
        </w:rPr>
        <w:t xml:space="preserve">. Identified MDS vs. healthy individuals gene sets of glycolysis pathway among independent multiple MDS cohorts. </w:t>
      </w:r>
      <w:r w:rsidR="00C037C4">
        <w:t>The h</w:t>
      </w:r>
      <w:r w:rsidR="00C037C4" w:rsidRPr="00394AFB">
        <w:t xml:space="preserve">eatmap shows the discrimination of patients with MDS vs. healthy individuals based on the topmost enriched gene sets in the </w:t>
      </w:r>
      <w:r w:rsidR="00C037C4" w:rsidRPr="00C037C4">
        <w:t>glycolysis</w:t>
      </w:r>
      <w:r w:rsidR="00C037C4">
        <w:t xml:space="preserve"> </w:t>
      </w:r>
      <w:r w:rsidR="00C037C4" w:rsidRPr="00394AFB">
        <w:t>pathway.</w:t>
      </w:r>
    </w:p>
    <w:p w14:paraId="77BE517C" w14:textId="77777777" w:rsidR="00C037C4" w:rsidRPr="003D6EB5" w:rsidRDefault="00C037C4" w:rsidP="003D6EB5">
      <w:pPr>
        <w:jc w:val="both"/>
        <w:rPr>
          <w:rFonts w:asciiTheme="majorBidi" w:hAnsiTheme="majorBidi" w:cstheme="majorBidi"/>
          <w:b/>
          <w:bCs/>
          <w:sz w:val="22"/>
          <w:szCs w:val="22"/>
        </w:rPr>
      </w:pPr>
    </w:p>
    <w:p w14:paraId="5B48E88C" w14:textId="77777777" w:rsidR="00C037C4" w:rsidRPr="003D6EB5" w:rsidRDefault="00C037C4" w:rsidP="003D6EB5">
      <w:pPr>
        <w:jc w:val="both"/>
        <w:rPr>
          <w:rFonts w:asciiTheme="majorBidi" w:hAnsiTheme="majorBidi" w:cstheme="majorBidi"/>
          <w:b/>
          <w:bCs/>
          <w:sz w:val="22"/>
          <w:szCs w:val="22"/>
        </w:rPr>
      </w:pPr>
    </w:p>
    <w:p w14:paraId="175B76DD" w14:textId="77777777" w:rsidR="00C037C4" w:rsidRDefault="00C037C4" w:rsidP="00FE29DA">
      <w:pPr>
        <w:jc w:val="both"/>
        <w:rPr>
          <w:rFonts w:asciiTheme="majorBidi" w:hAnsiTheme="majorBidi" w:cstheme="majorBidi"/>
          <w:b/>
          <w:bCs/>
          <w:sz w:val="22"/>
          <w:szCs w:val="22"/>
        </w:rPr>
      </w:pPr>
    </w:p>
    <w:p w14:paraId="2AEBB5FB" w14:textId="77777777" w:rsidR="00C037C4" w:rsidRDefault="00C037C4" w:rsidP="00FE29DA">
      <w:pPr>
        <w:jc w:val="both"/>
        <w:rPr>
          <w:rFonts w:asciiTheme="majorBidi" w:hAnsiTheme="majorBidi" w:cstheme="majorBidi"/>
          <w:b/>
          <w:bCs/>
          <w:sz w:val="22"/>
          <w:szCs w:val="22"/>
        </w:rPr>
      </w:pPr>
    </w:p>
    <w:p w14:paraId="2FB132C7" w14:textId="77777777" w:rsidR="00C037C4" w:rsidRDefault="00C037C4" w:rsidP="00FE29DA">
      <w:pPr>
        <w:jc w:val="both"/>
        <w:rPr>
          <w:rFonts w:asciiTheme="majorBidi" w:hAnsiTheme="majorBidi" w:cstheme="majorBidi"/>
          <w:b/>
          <w:bCs/>
          <w:sz w:val="22"/>
          <w:szCs w:val="22"/>
        </w:rPr>
      </w:pPr>
    </w:p>
    <w:p w14:paraId="3BF5D8E8" w14:textId="77777777" w:rsidR="00C037C4" w:rsidRDefault="00C037C4" w:rsidP="00FE29DA">
      <w:pPr>
        <w:jc w:val="both"/>
        <w:rPr>
          <w:rFonts w:asciiTheme="majorBidi" w:hAnsiTheme="majorBidi" w:cstheme="majorBidi"/>
          <w:b/>
          <w:bCs/>
          <w:sz w:val="22"/>
          <w:szCs w:val="22"/>
        </w:rPr>
      </w:pPr>
    </w:p>
    <w:p w14:paraId="618F033D" w14:textId="77777777" w:rsidR="00C037C4" w:rsidRDefault="00C037C4" w:rsidP="00FE29DA">
      <w:pPr>
        <w:jc w:val="both"/>
        <w:rPr>
          <w:rFonts w:asciiTheme="majorBidi" w:hAnsiTheme="majorBidi" w:cstheme="majorBidi"/>
          <w:b/>
          <w:bCs/>
          <w:sz w:val="22"/>
          <w:szCs w:val="22"/>
        </w:rPr>
      </w:pPr>
    </w:p>
    <w:p w14:paraId="467C1586" w14:textId="77777777" w:rsidR="00C037C4" w:rsidRDefault="00C037C4" w:rsidP="00FE29DA">
      <w:pPr>
        <w:jc w:val="both"/>
        <w:rPr>
          <w:rFonts w:asciiTheme="majorBidi" w:hAnsiTheme="majorBidi" w:cstheme="majorBidi"/>
          <w:b/>
          <w:bCs/>
          <w:sz w:val="22"/>
          <w:szCs w:val="22"/>
        </w:rPr>
      </w:pPr>
    </w:p>
    <w:p w14:paraId="215291C5" w14:textId="17751BC9" w:rsidR="00C037C4" w:rsidRDefault="00C037C4" w:rsidP="00FE29DA">
      <w:pPr>
        <w:jc w:val="both"/>
        <w:rPr>
          <w:rFonts w:asciiTheme="majorBidi" w:hAnsiTheme="majorBidi" w:cstheme="majorBidi"/>
          <w:b/>
          <w:bCs/>
          <w:sz w:val="22"/>
          <w:szCs w:val="22"/>
        </w:rPr>
      </w:pPr>
    </w:p>
    <w:p w14:paraId="02B79C8E" w14:textId="58FD9F58" w:rsidR="003D6EB5" w:rsidRDefault="003D6EB5" w:rsidP="00FE29DA">
      <w:pPr>
        <w:jc w:val="both"/>
        <w:rPr>
          <w:rFonts w:asciiTheme="majorBidi" w:hAnsiTheme="majorBidi" w:cstheme="majorBidi"/>
          <w:b/>
          <w:bCs/>
          <w:sz w:val="22"/>
          <w:szCs w:val="22"/>
        </w:rPr>
      </w:pPr>
    </w:p>
    <w:p w14:paraId="14D6CFCF" w14:textId="77777777" w:rsidR="003D6EB5" w:rsidRDefault="003D6EB5" w:rsidP="00FE29DA">
      <w:pPr>
        <w:jc w:val="both"/>
        <w:rPr>
          <w:rFonts w:asciiTheme="majorBidi" w:hAnsiTheme="majorBidi" w:cstheme="majorBidi"/>
          <w:b/>
          <w:bCs/>
          <w:sz w:val="22"/>
          <w:szCs w:val="22"/>
        </w:rPr>
      </w:pPr>
    </w:p>
    <w:p w14:paraId="77AEEF1B" w14:textId="169D7D0D" w:rsidR="00D90131" w:rsidRPr="00FE29DA" w:rsidRDefault="003D6EB5" w:rsidP="003D6EB5">
      <w:pPr>
        <w:pStyle w:val="Tablecaption"/>
        <w:spacing w:before="360" w:after="360"/>
        <w:rPr>
          <w:bCs/>
          <w:i/>
          <w:iCs/>
        </w:rPr>
      </w:pPr>
      <w:r w:rsidRPr="003D6EB5">
        <w:rPr>
          <w:bCs/>
        </w:rPr>
        <w:lastRenderedPageBreak/>
        <w:t>Supplementary Table 1</w:t>
      </w:r>
      <w:r>
        <w:rPr>
          <w:bCs/>
        </w:rPr>
        <w:t>.</w:t>
      </w:r>
      <w:r w:rsidR="00D90131" w:rsidRPr="00FE29DA">
        <w:t xml:space="preserve"> Mutual exclusivity observed among MDS patients with specific genetic alterations.</w:t>
      </w:r>
    </w:p>
    <w:tbl>
      <w:tblPr>
        <w:tblW w:w="9179" w:type="dxa"/>
        <w:jc w:val="center"/>
        <w:tblLook w:val="04A0" w:firstRow="1" w:lastRow="0" w:firstColumn="1" w:lastColumn="0" w:noHBand="0" w:noVBand="1"/>
      </w:tblPr>
      <w:tblGrid>
        <w:gridCol w:w="963"/>
        <w:gridCol w:w="1216"/>
        <w:gridCol w:w="989"/>
        <w:gridCol w:w="1103"/>
        <w:gridCol w:w="1134"/>
        <w:gridCol w:w="710"/>
        <w:gridCol w:w="1110"/>
        <w:gridCol w:w="1954"/>
      </w:tblGrid>
      <w:tr w:rsidR="00D90131" w:rsidRPr="003D6EB5" w14:paraId="196B39BD" w14:textId="77777777" w:rsidTr="004E0C39">
        <w:trPr>
          <w:trHeight w:val="305"/>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7D606" w14:textId="77777777" w:rsidR="00D90131" w:rsidRPr="003D6EB5" w:rsidRDefault="00D90131" w:rsidP="00FE29DA">
            <w:pPr>
              <w:jc w:val="center"/>
              <w:rPr>
                <w:rFonts w:asciiTheme="majorBidi" w:hAnsiTheme="majorBidi" w:cstheme="majorBidi"/>
                <w:b/>
                <w:bCs/>
                <w:color w:val="000000"/>
                <w:sz w:val="21"/>
                <w:szCs w:val="21"/>
              </w:rPr>
            </w:pPr>
            <w:r w:rsidRPr="003D6EB5">
              <w:rPr>
                <w:rFonts w:asciiTheme="majorBidi" w:hAnsiTheme="majorBidi" w:cstheme="majorBidi"/>
                <w:b/>
                <w:bCs/>
                <w:color w:val="000000"/>
                <w:sz w:val="21"/>
                <w:szCs w:val="21"/>
              </w:rPr>
              <w:t>A</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667A575B" w14:textId="77777777" w:rsidR="00D90131" w:rsidRPr="003D6EB5" w:rsidRDefault="00D90131" w:rsidP="00FE29DA">
            <w:pPr>
              <w:jc w:val="center"/>
              <w:rPr>
                <w:rFonts w:asciiTheme="majorBidi" w:hAnsiTheme="majorBidi" w:cstheme="majorBidi"/>
                <w:b/>
                <w:bCs/>
                <w:color w:val="000000"/>
                <w:sz w:val="21"/>
                <w:szCs w:val="21"/>
              </w:rPr>
            </w:pPr>
            <w:r w:rsidRPr="003D6EB5">
              <w:rPr>
                <w:rFonts w:asciiTheme="majorBidi" w:hAnsiTheme="majorBidi" w:cstheme="majorBidi"/>
                <w:b/>
                <w:bCs/>
                <w:color w:val="000000"/>
                <w:sz w:val="21"/>
                <w:szCs w:val="21"/>
              </w:rPr>
              <w:t>B</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7E761A38" w14:textId="77777777" w:rsidR="00D90131" w:rsidRPr="003D6EB5" w:rsidRDefault="00D90131" w:rsidP="00FE29DA">
            <w:pPr>
              <w:jc w:val="center"/>
              <w:rPr>
                <w:rFonts w:asciiTheme="majorBidi" w:hAnsiTheme="majorBidi" w:cstheme="majorBidi"/>
                <w:b/>
                <w:bCs/>
                <w:color w:val="000000"/>
                <w:sz w:val="21"/>
                <w:szCs w:val="21"/>
              </w:rPr>
            </w:pPr>
            <w:r w:rsidRPr="003D6EB5">
              <w:rPr>
                <w:rFonts w:asciiTheme="majorBidi" w:hAnsiTheme="majorBidi" w:cstheme="majorBidi"/>
                <w:b/>
                <w:bCs/>
                <w:color w:val="000000"/>
                <w:sz w:val="21"/>
                <w:szCs w:val="21"/>
              </w:rPr>
              <w:t>Neither</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13D8C038" w14:textId="77777777" w:rsidR="00D90131" w:rsidRPr="003D6EB5" w:rsidRDefault="00D90131" w:rsidP="00FE29DA">
            <w:pPr>
              <w:jc w:val="center"/>
              <w:rPr>
                <w:rFonts w:asciiTheme="majorBidi" w:hAnsiTheme="majorBidi" w:cstheme="majorBidi"/>
                <w:b/>
                <w:bCs/>
                <w:color w:val="000000"/>
                <w:sz w:val="21"/>
                <w:szCs w:val="21"/>
              </w:rPr>
            </w:pPr>
            <w:r w:rsidRPr="003D6EB5">
              <w:rPr>
                <w:rFonts w:asciiTheme="majorBidi" w:hAnsiTheme="majorBidi" w:cstheme="majorBidi"/>
                <w:b/>
                <w:bCs/>
                <w:color w:val="000000"/>
                <w:sz w:val="21"/>
                <w:szCs w:val="21"/>
              </w:rPr>
              <w:t>A Not B</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52F124" w14:textId="77777777" w:rsidR="00D90131" w:rsidRPr="003D6EB5" w:rsidRDefault="00D90131" w:rsidP="00FE29DA">
            <w:pPr>
              <w:jc w:val="center"/>
              <w:rPr>
                <w:rFonts w:asciiTheme="majorBidi" w:hAnsiTheme="majorBidi" w:cstheme="majorBidi"/>
                <w:b/>
                <w:bCs/>
                <w:color w:val="000000"/>
                <w:sz w:val="21"/>
                <w:szCs w:val="21"/>
              </w:rPr>
            </w:pPr>
            <w:r w:rsidRPr="003D6EB5">
              <w:rPr>
                <w:rFonts w:asciiTheme="majorBidi" w:hAnsiTheme="majorBidi" w:cstheme="majorBidi"/>
                <w:b/>
                <w:bCs/>
                <w:color w:val="000000"/>
                <w:sz w:val="21"/>
                <w:szCs w:val="21"/>
              </w:rPr>
              <w:t>B Not A</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71F9F93F" w14:textId="77777777" w:rsidR="00D90131" w:rsidRPr="003D6EB5" w:rsidRDefault="00D90131" w:rsidP="00FE29DA">
            <w:pPr>
              <w:jc w:val="center"/>
              <w:rPr>
                <w:rFonts w:asciiTheme="majorBidi" w:hAnsiTheme="majorBidi" w:cstheme="majorBidi"/>
                <w:b/>
                <w:bCs/>
                <w:color w:val="000000"/>
                <w:sz w:val="21"/>
                <w:szCs w:val="21"/>
              </w:rPr>
            </w:pPr>
            <w:r w:rsidRPr="003D6EB5">
              <w:rPr>
                <w:rFonts w:asciiTheme="majorBidi" w:hAnsiTheme="majorBidi" w:cstheme="majorBidi"/>
                <w:b/>
                <w:bCs/>
                <w:color w:val="000000"/>
                <w:sz w:val="21"/>
                <w:szCs w:val="21"/>
              </w:rPr>
              <w:t>Both</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1DDBD9CE" w14:textId="77777777" w:rsidR="00D90131" w:rsidRPr="003D6EB5" w:rsidRDefault="00D90131" w:rsidP="00FE29DA">
            <w:pPr>
              <w:jc w:val="center"/>
              <w:rPr>
                <w:rFonts w:asciiTheme="majorBidi" w:hAnsiTheme="majorBidi" w:cstheme="majorBidi"/>
                <w:b/>
                <w:bCs/>
                <w:color w:val="000000"/>
                <w:sz w:val="21"/>
                <w:szCs w:val="21"/>
              </w:rPr>
            </w:pPr>
            <w:r w:rsidRPr="003D6EB5">
              <w:rPr>
                <w:rFonts w:asciiTheme="majorBidi" w:hAnsiTheme="majorBidi" w:cstheme="majorBidi"/>
                <w:b/>
                <w:bCs/>
                <w:i/>
                <w:color w:val="000000"/>
                <w:sz w:val="21"/>
                <w:szCs w:val="21"/>
              </w:rPr>
              <w:t>p</w:t>
            </w:r>
            <w:r w:rsidRPr="003D6EB5">
              <w:rPr>
                <w:rFonts w:asciiTheme="majorBidi" w:hAnsiTheme="majorBidi" w:cstheme="majorBidi"/>
                <w:b/>
                <w:bCs/>
                <w:color w:val="000000"/>
                <w:sz w:val="21"/>
                <w:szCs w:val="21"/>
              </w:rPr>
              <w:t>-Value</w:t>
            </w:r>
          </w:p>
        </w:tc>
        <w:tc>
          <w:tcPr>
            <w:tcW w:w="1954" w:type="dxa"/>
            <w:tcBorders>
              <w:top w:val="single" w:sz="4" w:space="0" w:color="auto"/>
              <w:left w:val="nil"/>
              <w:bottom w:val="single" w:sz="4" w:space="0" w:color="auto"/>
              <w:right w:val="single" w:sz="4" w:space="0" w:color="auto"/>
            </w:tcBorders>
            <w:shd w:val="clear" w:color="auto" w:fill="auto"/>
            <w:noWrap/>
            <w:vAlign w:val="center"/>
            <w:hideMark/>
          </w:tcPr>
          <w:p w14:paraId="163F6751" w14:textId="77777777" w:rsidR="00D90131" w:rsidRPr="003D6EB5" w:rsidRDefault="00D90131" w:rsidP="00FE29DA">
            <w:pPr>
              <w:jc w:val="center"/>
              <w:rPr>
                <w:rFonts w:asciiTheme="majorBidi" w:hAnsiTheme="majorBidi" w:cstheme="majorBidi"/>
                <w:b/>
                <w:bCs/>
                <w:color w:val="000000"/>
                <w:sz w:val="21"/>
                <w:szCs w:val="21"/>
              </w:rPr>
            </w:pPr>
            <w:r w:rsidRPr="003D6EB5">
              <w:rPr>
                <w:rFonts w:asciiTheme="majorBidi" w:hAnsiTheme="majorBidi" w:cstheme="majorBidi"/>
                <w:b/>
                <w:bCs/>
                <w:color w:val="000000"/>
                <w:sz w:val="21"/>
                <w:szCs w:val="21"/>
              </w:rPr>
              <w:t>Tendency</w:t>
            </w:r>
          </w:p>
        </w:tc>
      </w:tr>
      <w:tr w:rsidR="00D90131" w:rsidRPr="003D6EB5" w14:paraId="33359AA6" w14:textId="77777777" w:rsidTr="004E0C39">
        <w:trPr>
          <w:trHeight w:val="305"/>
          <w:jc w:val="center"/>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14:paraId="4192BAB0" w14:textId="77777777" w:rsidR="00D90131" w:rsidRPr="003D6EB5" w:rsidRDefault="00D90131" w:rsidP="00FE29DA">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SRSF2</w:t>
            </w:r>
          </w:p>
        </w:tc>
        <w:tc>
          <w:tcPr>
            <w:tcW w:w="1216" w:type="dxa"/>
            <w:tcBorders>
              <w:top w:val="nil"/>
              <w:left w:val="nil"/>
              <w:bottom w:val="single" w:sz="4" w:space="0" w:color="auto"/>
              <w:right w:val="single" w:sz="4" w:space="0" w:color="auto"/>
            </w:tcBorders>
            <w:shd w:val="clear" w:color="auto" w:fill="auto"/>
            <w:noWrap/>
            <w:vAlign w:val="center"/>
            <w:hideMark/>
          </w:tcPr>
          <w:p w14:paraId="3510C02A" w14:textId="77777777" w:rsidR="00D90131" w:rsidRPr="003D6EB5" w:rsidRDefault="00D90131" w:rsidP="00FE29DA">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DNMT3A</w:t>
            </w:r>
          </w:p>
        </w:tc>
        <w:tc>
          <w:tcPr>
            <w:tcW w:w="989" w:type="dxa"/>
            <w:tcBorders>
              <w:top w:val="nil"/>
              <w:left w:val="nil"/>
              <w:bottom w:val="single" w:sz="4" w:space="0" w:color="auto"/>
              <w:right w:val="single" w:sz="4" w:space="0" w:color="auto"/>
            </w:tcBorders>
            <w:shd w:val="clear" w:color="auto" w:fill="auto"/>
            <w:noWrap/>
            <w:vAlign w:val="center"/>
            <w:hideMark/>
          </w:tcPr>
          <w:p w14:paraId="5EA8D702"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3026</w:t>
            </w:r>
          </w:p>
        </w:tc>
        <w:tc>
          <w:tcPr>
            <w:tcW w:w="1103" w:type="dxa"/>
            <w:tcBorders>
              <w:top w:val="nil"/>
              <w:left w:val="nil"/>
              <w:bottom w:val="single" w:sz="4" w:space="0" w:color="auto"/>
              <w:right w:val="single" w:sz="4" w:space="0" w:color="auto"/>
            </w:tcBorders>
            <w:shd w:val="clear" w:color="auto" w:fill="auto"/>
            <w:noWrap/>
            <w:vAlign w:val="center"/>
            <w:hideMark/>
          </w:tcPr>
          <w:p w14:paraId="0E4D5A12"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379</w:t>
            </w:r>
          </w:p>
        </w:tc>
        <w:tc>
          <w:tcPr>
            <w:tcW w:w="1134" w:type="dxa"/>
            <w:tcBorders>
              <w:top w:val="nil"/>
              <w:left w:val="nil"/>
              <w:bottom w:val="single" w:sz="4" w:space="0" w:color="auto"/>
              <w:right w:val="single" w:sz="4" w:space="0" w:color="auto"/>
            </w:tcBorders>
            <w:shd w:val="clear" w:color="auto" w:fill="auto"/>
            <w:noWrap/>
            <w:vAlign w:val="center"/>
            <w:hideMark/>
          </w:tcPr>
          <w:p w14:paraId="48851F0F"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816</w:t>
            </w:r>
          </w:p>
        </w:tc>
        <w:tc>
          <w:tcPr>
            <w:tcW w:w="710" w:type="dxa"/>
            <w:tcBorders>
              <w:top w:val="nil"/>
              <w:left w:val="nil"/>
              <w:bottom w:val="single" w:sz="4" w:space="0" w:color="auto"/>
              <w:right w:val="single" w:sz="4" w:space="0" w:color="auto"/>
            </w:tcBorders>
            <w:shd w:val="clear" w:color="auto" w:fill="auto"/>
            <w:noWrap/>
            <w:vAlign w:val="center"/>
            <w:hideMark/>
          </w:tcPr>
          <w:p w14:paraId="360556F8"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39</w:t>
            </w:r>
          </w:p>
        </w:tc>
        <w:tc>
          <w:tcPr>
            <w:tcW w:w="1110" w:type="dxa"/>
            <w:tcBorders>
              <w:top w:val="nil"/>
              <w:left w:val="nil"/>
              <w:bottom w:val="single" w:sz="4" w:space="0" w:color="auto"/>
              <w:right w:val="single" w:sz="4" w:space="0" w:color="auto"/>
            </w:tcBorders>
            <w:shd w:val="clear" w:color="auto" w:fill="auto"/>
            <w:noWrap/>
            <w:vAlign w:val="center"/>
            <w:hideMark/>
          </w:tcPr>
          <w:p w14:paraId="05E63DBE"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&lt;0.001</w:t>
            </w:r>
          </w:p>
        </w:tc>
        <w:tc>
          <w:tcPr>
            <w:tcW w:w="1954" w:type="dxa"/>
            <w:tcBorders>
              <w:top w:val="nil"/>
              <w:left w:val="nil"/>
              <w:bottom w:val="single" w:sz="4" w:space="0" w:color="auto"/>
              <w:right w:val="single" w:sz="4" w:space="0" w:color="auto"/>
            </w:tcBorders>
            <w:shd w:val="clear" w:color="auto" w:fill="auto"/>
            <w:noWrap/>
            <w:vAlign w:val="center"/>
            <w:hideMark/>
          </w:tcPr>
          <w:p w14:paraId="6CDB46BC"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Mutual exclusivity</w:t>
            </w:r>
          </w:p>
        </w:tc>
      </w:tr>
      <w:tr w:rsidR="00D90131" w:rsidRPr="003D6EB5" w14:paraId="5B1F723F" w14:textId="77777777" w:rsidTr="004E0C39">
        <w:trPr>
          <w:trHeight w:val="305"/>
          <w:jc w:val="center"/>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14:paraId="2A7AB1FD" w14:textId="77777777" w:rsidR="00D90131" w:rsidRPr="003D6EB5" w:rsidRDefault="00D90131" w:rsidP="00FE29DA">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ASXL1</w:t>
            </w:r>
          </w:p>
        </w:tc>
        <w:tc>
          <w:tcPr>
            <w:tcW w:w="1216" w:type="dxa"/>
            <w:tcBorders>
              <w:top w:val="nil"/>
              <w:left w:val="nil"/>
              <w:bottom w:val="single" w:sz="4" w:space="0" w:color="auto"/>
              <w:right w:val="single" w:sz="4" w:space="0" w:color="auto"/>
            </w:tcBorders>
            <w:shd w:val="clear" w:color="auto" w:fill="auto"/>
            <w:noWrap/>
            <w:vAlign w:val="center"/>
            <w:hideMark/>
          </w:tcPr>
          <w:p w14:paraId="400B0F07" w14:textId="77777777" w:rsidR="00D90131" w:rsidRPr="003D6EB5" w:rsidRDefault="00D90131" w:rsidP="00FE29DA">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DNMT3A</w:t>
            </w:r>
          </w:p>
        </w:tc>
        <w:tc>
          <w:tcPr>
            <w:tcW w:w="989" w:type="dxa"/>
            <w:tcBorders>
              <w:top w:val="nil"/>
              <w:left w:val="nil"/>
              <w:bottom w:val="single" w:sz="4" w:space="0" w:color="auto"/>
              <w:right w:val="single" w:sz="4" w:space="0" w:color="auto"/>
            </w:tcBorders>
            <w:shd w:val="clear" w:color="auto" w:fill="auto"/>
            <w:noWrap/>
            <w:vAlign w:val="center"/>
            <w:hideMark/>
          </w:tcPr>
          <w:p w14:paraId="034C4A66"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3014</w:t>
            </w:r>
          </w:p>
        </w:tc>
        <w:tc>
          <w:tcPr>
            <w:tcW w:w="1103" w:type="dxa"/>
            <w:tcBorders>
              <w:top w:val="nil"/>
              <w:left w:val="nil"/>
              <w:bottom w:val="single" w:sz="4" w:space="0" w:color="auto"/>
              <w:right w:val="single" w:sz="4" w:space="0" w:color="auto"/>
            </w:tcBorders>
            <w:shd w:val="clear" w:color="auto" w:fill="auto"/>
            <w:noWrap/>
            <w:vAlign w:val="center"/>
            <w:hideMark/>
          </w:tcPr>
          <w:p w14:paraId="20CEF024"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391</w:t>
            </w:r>
          </w:p>
        </w:tc>
        <w:tc>
          <w:tcPr>
            <w:tcW w:w="1134" w:type="dxa"/>
            <w:tcBorders>
              <w:top w:val="nil"/>
              <w:left w:val="nil"/>
              <w:bottom w:val="single" w:sz="4" w:space="0" w:color="auto"/>
              <w:right w:val="single" w:sz="4" w:space="0" w:color="auto"/>
            </w:tcBorders>
            <w:shd w:val="clear" w:color="auto" w:fill="auto"/>
            <w:noWrap/>
            <w:vAlign w:val="center"/>
            <w:hideMark/>
          </w:tcPr>
          <w:p w14:paraId="3DDF5AB0"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810</w:t>
            </w:r>
          </w:p>
        </w:tc>
        <w:tc>
          <w:tcPr>
            <w:tcW w:w="710" w:type="dxa"/>
            <w:tcBorders>
              <w:top w:val="nil"/>
              <w:left w:val="nil"/>
              <w:bottom w:val="single" w:sz="4" w:space="0" w:color="auto"/>
              <w:right w:val="single" w:sz="4" w:space="0" w:color="auto"/>
            </w:tcBorders>
            <w:shd w:val="clear" w:color="auto" w:fill="auto"/>
            <w:noWrap/>
            <w:vAlign w:val="center"/>
            <w:hideMark/>
          </w:tcPr>
          <w:p w14:paraId="3CA6F8F7"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45</w:t>
            </w:r>
          </w:p>
        </w:tc>
        <w:tc>
          <w:tcPr>
            <w:tcW w:w="1110" w:type="dxa"/>
            <w:tcBorders>
              <w:top w:val="nil"/>
              <w:left w:val="nil"/>
              <w:bottom w:val="single" w:sz="4" w:space="0" w:color="auto"/>
              <w:right w:val="single" w:sz="4" w:space="0" w:color="auto"/>
            </w:tcBorders>
            <w:shd w:val="clear" w:color="auto" w:fill="auto"/>
            <w:noWrap/>
            <w:vAlign w:val="center"/>
            <w:hideMark/>
          </w:tcPr>
          <w:p w14:paraId="6CA9EC33"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&lt;0.001</w:t>
            </w:r>
          </w:p>
        </w:tc>
        <w:tc>
          <w:tcPr>
            <w:tcW w:w="1954" w:type="dxa"/>
            <w:tcBorders>
              <w:top w:val="nil"/>
              <w:left w:val="nil"/>
              <w:bottom w:val="single" w:sz="4" w:space="0" w:color="auto"/>
              <w:right w:val="single" w:sz="4" w:space="0" w:color="auto"/>
            </w:tcBorders>
            <w:shd w:val="clear" w:color="auto" w:fill="auto"/>
            <w:noWrap/>
            <w:vAlign w:val="center"/>
            <w:hideMark/>
          </w:tcPr>
          <w:p w14:paraId="4DD763E0"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Mutual exclusivity</w:t>
            </w:r>
          </w:p>
        </w:tc>
      </w:tr>
      <w:tr w:rsidR="00D90131" w:rsidRPr="003D6EB5" w14:paraId="6FBCB6A3" w14:textId="77777777" w:rsidTr="004E0C39">
        <w:trPr>
          <w:trHeight w:val="305"/>
          <w:jc w:val="center"/>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14:paraId="606ECDFA" w14:textId="77777777" w:rsidR="00D90131" w:rsidRPr="003D6EB5" w:rsidRDefault="00D90131" w:rsidP="00FE29DA">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JAK2</w:t>
            </w:r>
          </w:p>
        </w:tc>
        <w:tc>
          <w:tcPr>
            <w:tcW w:w="1216" w:type="dxa"/>
            <w:tcBorders>
              <w:top w:val="nil"/>
              <w:left w:val="nil"/>
              <w:bottom w:val="single" w:sz="4" w:space="0" w:color="auto"/>
              <w:right w:val="single" w:sz="4" w:space="0" w:color="auto"/>
            </w:tcBorders>
            <w:shd w:val="clear" w:color="auto" w:fill="auto"/>
            <w:noWrap/>
            <w:vAlign w:val="center"/>
            <w:hideMark/>
          </w:tcPr>
          <w:p w14:paraId="15E0C9AA" w14:textId="77777777" w:rsidR="00D90131" w:rsidRPr="003D6EB5" w:rsidRDefault="00D90131" w:rsidP="00FE29DA">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DNMT3A</w:t>
            </w:r>
          </w:p>
        </w:tc>
        <w:tc>
          <w:tcPr>
            <w:tcW w:w="989" w:type="dxa"/>
            <w:tcBorders>
              <w:top w:val="nil"/>
              <w:left w:val="nil"/>
              <w:bottom w:val="single" w:sz="4" w:space="0" w:color="auto"/>
              <w:right w:val="single" w:sz="4" w:space="0" w:color="auto"/>
            </w:tcBorders>
            <w:shd w:val="clear" w:color="auto" w:fill="auto"/>
            <w:noWrap/>
            <w:vAlign w:val="center"/>
            <w:hideMark/>
          </w:tcPr>
          <w:p w14:paraId="6BA52A10"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3110</w:t>
            </w:r>
          </w:p>
        </w:tc>
        <w:tc>
          <w:tcPr>
            <w:tcW w:w="1103" w:type="dxa"/>
            <w:tcBorders>
              <w:top w:val="nil"/>
              <w:left w:val="nil"/>
              <w:bottom w:val="single" w:sz="4" w:space="0" w:color="auto"/>
              <w:right w:val="single" w:sz="4" w:space="0" w:color="auto"/>
            </w:tcBorders>
            <w:shd w:val="clear" w:color="auto" w:fill="auto"/>
            <w:noWrap/>
            <w:vAlign w:val="center"/>
            <w:hideMark/>
          </w:tcPr>
          <w:p w14:paraId="3A4BA791"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295</w:t>
            </w:r>
          </w:p>
        </w:tc>
        <w:tc>
          <w:tcPr>
            <w:tcW w:w="1134" w:type="dxa"/>
            <w:tcBorders>
              <w:top w:val="nil"/>
              <w:left w:val="nil"/>
              <w:bottom w:val="single" w:sz="4" w:space="0" w:color="auto"/>
              <w:right w:val="single" w:sz="4" w:space="0" w:color="auto"/>
            </w:tcBorders>
            <w:shd w:val="clear" w:color="auto" w:fill="auto"/>
            <w:noWrap/>
            <w:vAlign w:val="center"/>
            <w:hideMark/>
          </w:tcPr>
          <w:p w14:paraId="036833FB"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814</w:t>
            </w:r>
          </w:p>
        </w:tc>
        <w:tc>
          <w:tcPr>
            <w:tcW w:w="710" w:type="dxa"/>
            <w:tcBorders>
              <w:top w:val="nil"/>
              <w:left w:val="nil"/>
              <w:bottom w:val="single" w:sz="4" w:space="0" w:color="auto"/>
              <w:right w:val="single" w:sz="4" w:space="0" w:color="auto"/>
            </w:tcBorders>
            <w:shd w:val="clear" w:color="auto" w:fill="auto"/>
            <w:noWrap/>
            <w:vAlign w:val="center"/>
            <w:hideMark/>
          </w:tcPr>
          <w:p w14:paraId="4F9ED08A"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41</w:t>
            </w:r>
          </w:p>
        </w:tc>
        <w:tc>
          <w:tcPr>
            <w:tcW w:w="1110" w:type="dxa"/>
            <w:tcBorders>
              <w:top w:val="nil"/>
              <w:left w:val="nil"/>
              <w:bottom w:val="single" w:sz="4" w:space="0" w:color="auto"/>
              <w:right w:val="single" w:sz="4" w:space="0" w:color="auto"/>
            </w:tcBorders>
            <w:shd w:val="clear" w:color="auto" w:fill="auto"/>
            <w:noWrap/>
            <w:vAlign w:val="center"/>
            <w:hideMark/>
          </w:tcPr>
          <w:p w14:paraId="1AB32C5B"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&lt;0.001</w:t>
            </w:r>
          </w:p>
        </w:tc>
        <w:tc>
          <w:tcPr>
            <w:tcW w:w="1954" w:type="dxa"/>
            <w:tcBorders>
              <w:top w:val="nil"/>
              <w:left w:val="nil"/>
              <w:bottom w:val="single" w:sz="4" w:space="0" w:color="auto"/>
              <w:right w:val="single" w:sz="4" w:space="0" w:color="auto"/>
            </w:tcBorders>
            <w:shd w:val="clear" w:color="auto" w:fill="auto"/>
            <w:noWrap/>
            <w:vAlign w:val="center"/>
            <w:hideMark/>
          </w:tcPr>
          <w:p w14:paraId="66B959F3"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Mutual exclusivity</w:t>
            </w:r>
          </w:p>
        </w:tc>
      </w:tr>
      <w:tr w:rsidR="00D90131" w:rsidRPr="003D6EB5" w14:paraId="6F780586" w14:textId="77777777" w:rsidTr="0043223F">
        <w:trPr>
          <w:trHeight w:val="305"/>
          <w:jc w:val="center"/>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14:paraId="35B7729E" w14:textId="77777777" w:rsidR="00D90131" w:rsidRPr="003D6EB5" w:rsidRDefault="00D90131" w:rsidP="00FE29DA">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TP53</w:t>
            </w:r>
          </w:p>
        </w:tc>
        <w:tc>
          <w:tcPr>
            <w:tcW w:w="1216" w:type="dxa"/>
            <w:tcBorders>
              <w:top w:val="nil"/>
              <w:left w:val="nil"/>
              <w:bottom w:val="single" w:sz="4" w:space="0" w:color="auto"/>
              <w:right w:val="single" w:sz="4" w:space="0" w:color="auto"/>
            </w:tcBorders>
            <w:shd w:val="clear" w:color="auto" w:fill="auto"/>
            <w:noWrap/>
            <w:vAlign w:val="center"/>
            <w:hideMark/>
          </w:tcPr>
          <w:p w14:paraId="59B4E459" w14:textId="77777777" w:rsidR="00D90131" w:rsidRPr="003D6EB5" w:rsidRDefault="00D90131" w:rsidP="00FE29DA">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DNMT3A</w:t>
            </w:r>
          </w:p>
        </w:tc>
        <w:tc>
          <w:tcPr>
            <w:tcW w:w="989" w:type="dxa"/>
            <w:tcBorders>
              <w:top w:val="nil"/>
              <w:left w:val="nil"/>
              <w:bottom w:val="single" w:sz="4" w:space="0" w:color="auto"/>
              <w:right w:val="single" w:sz="4" w:space="0" w:color="auto"/>
            </w:tcBorders>
            <w:shd w:val="clear" w:color="auto" w:fill="auto"/>
            <w:noWrap/>
            <w:vAlign w:val="center"/>
            <w:hideMark/>
          </w:tcPr>
          <w:p w14:paraId="0BA91914"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3063</w:t>
            </w:r>
          </w:p>
        </w:tc>
        <w:tc>
          <w:tcPr>
            <w:tcW w:w="1103" w:type="dxa"/>
            <w:tcBorders>
              <w:top w:val="nil"/>
              <w:left w:val="nil"/>
              <w:bottom w:val="single" w:sz="4" w:space="0" w:color="auto"/>
              <w:right w:val="single" w:sz="4" w:space="0" w:color="auto"/>
            </w:tcBorders>
            <w:shd w:val="clear" w:color="auto" w:fill="auto"/>
            <w:noWrap/>
            <w:vAlign w:val="center"/>
            <w:hideMark/>
          </w:tcPr>
          <w:p w14:paraId="7133D992"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342</w:t>
            </w:r>
          </w:p>
        </w:tc>
        <w:tc>
          <w:tcPr>
            <w:tcW w:w="1134" w:type="dxa"/>
            <w:tcBorders>
              <w:top w:val="nil"/>
              <w:left w:val="nil"/>
              <w:bottom w:val="single" w:sz="4" w:space="0" w:color="auto"/>
              <w:right w:val="single" w:sz="4" w:space="0" w:color="auto"/>
            </w:tcBorders>
            <w:shd w:val="clear" w:color="auto" w:fill="auto"/>
            <w:noWrap/>
            <w:vAlign w:val="center"/>
            <w:hideMark/>
          </w:tcPr>
          <w:p w14:paraId="6D2EB6EA"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796</w:t>
            </w:r>
          </w:p>
        </w:tc>
        <w:tc>
          <w:tcPr>
            <w:tcW w:w="710" w:type="dxa"/>
            <w:tcBorders>
              <w:top w:val="nil"/>
              <w:left w:val="nil"/>
              <w:bottom w:val="single" w:sz="4" w:space="0" w:color="auto"/>
              <w:right w:val="single" w:sz="4" w:space="0" w:color="auto"/>
            </w:tcBorders>
            <w:shd w:val="clear" w:color="auto" w:fill="auto"/>
            <w:noWrap/>
            <w:vAlign w:val="center"/>
            <w:hideMark/>
          </w:tcPr>
          <w:p w14:paraId="342C1908"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59</w:t>
            </w:r>
          </w:p>
        </w:tc>
        <w:tc>
          <w:tcPr>
            <w:tcW w:w="1110" w:type="dxa"/>
            <w:tcBorders>
              <w:top w:val="nil"/>
              <w:left w:val="nil"/>
              <w:bottom w:val="single" w:sz="4" w:space="0" w:color="auto"/>
              <w:right w:val="single" w:sz="4" w:space="0" w:color="auto"/>
            </w:tcBorders>
            <w:shd w:val="clear" w:color="auto" w:fill="auto"/>
            <w:noWrap/>
            <w:vAlign w:val="center"/>
            <w:hideMark/>
          </w:tcPr>
          <w:p w14:paraId="1AC922A6"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0.002</w:t>
            </w:r>
          </w:p>
        </w:tc>
        <w:tc>
          <w:tcPr>
            <w:tcW w:w="1954" w:type="dxa"/>
            <w:tcBorders>
              <w:top w:val="nil"/>
              <w:left w:val="nil"/>
              <w:bottom w:val="single" w:sz="4" w:space="0" w:color="auto"/>
              <w:right w:val="single" w:sz="4" w:space="0" w:color="auto"/>
            </w:tcBorders>
            <w:shd w:val="clear" w:color="auto" w:fill="auto"/>
            <w:noWrap/>
            <w:vAlign w:val="center"/>
            <w:hideMark/>
          </w:tcPr>
          <w:p w14:paraId="3142EC82" w14:textId="77777777" w:rsidR="00D90131" w:rsidRPr="003D6EB5" w:rsidRDefault="00D90131" w:rsidP="00FE29DA">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Mutual exclusivity</w:t>
            </w:r>
          </w:p>
        </w:tc>
      </w:tr>
      <w:tr w:rsidR="008F5D51" w:rsidRPr="003D6EB5" w14:paraId="25288082" w14:textId="77777777" w:rsidTr="008F5D51">
        <w:trPr>
          <w:trHeight w:val="305"/>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8DEC3" w14:textId="77777777" w:rsidR="008F5D51" w:rsidRPr="003D6EB5" w:rsidRDefault="008F5D51" w:rsidP="008F5D51">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TET2</w:t>
            </w: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3A06CD0F" w14:textId="77777777" w:rsidR="008F5D51" w:rsidRPr="003D6EB5" w:rsidRDefault="008F5D51" w:rsidP="008F5D51">
            <w:pPr>
              <w:jc w:val="center"/>
              <w:rPr>
                <w:rFonts w:asciiTheme="majorBidi" w:hAnsiTheme="majorBidi" w:cstheme="majorBidi"/>
                <w:i/>
                <w:iCs/>
                <w:color w:val="000000"/>
                <w:sz w:val="21"/>
                <w:szCs w:val="21"/>
              </w:rPr>
            </w:pPr>
            <w:r w:rsidRPr="003D6EB5">
              <w:rPr>
                <w:rFonts w:asciiTheme="majorBidi" w:hAnsiTheme="majorBidi" w:cstheme="majorBidi"/>
                <w:i/>
                <w:iCs/>
                <w:color w:val="000000"/>
                <w:sz w:val="21"/>
                <w:szCs w:val="21"/>
              </w:rPr>
              <w:t>DNMT3A</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1F599B5" w14:textId="77777777" w:rsidR="008F5D51" w:rsidRPr="003D6EB5" w:rsidRDefault="008F5D51" w:rsidP="008F5D51">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2839</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361685C1" w14:textId="77777777" w:rsidR="008F5D51" w:rsidRPr="003D6EB5" w:rsidRDefault="008F5D51" w:rsidP="008F5D51">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566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15FE27" w14:textId="77777777" w:rsidR="008F5D51" w:rsidRPr="003D6EB5" w:rsidRDefault="008F5D51" w:rsidP="008F5D51">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730</w:t>
            </w:r>
          </w:p>
        </w:tc>
        <w:tc>
          <w:tcPr>
            <w:tcW w:w="710" w:type="dxa"/>
            <w:tcBorders>
              <w:top w:val="single" w:sz="4" w:space="0" w:color="auto"/>
              <w:left w:val="nil"/>
              <w:bottom w:val="single" w:sz="4" w:space="0" w:color="auto"/>
              <w:right w:val="single" w:sz="4" w:space="0" w:color="auto"/>
            </w:tcBorders>
            <w:shd w:val="clear" w:color="auto" w:fill="auto"/>
            <w:noWrap/>
            <w:vAlign w:val="center"/>
          </w:tcPr>
          <w:p w14:paraId="7BC3EB1E" w14:textId="77777777" w:rsidR="008F5D51" w:rsidRPr="003D6EB5" w:rsidRDefault="008F5D51" w:rsidP="008F5D51">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125</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261FCCA5" w14:textId="77777777" w:rsidR="008F5D51" w:rsidRPr="003D6EB5" w:rsidRDefault="008F5D51" w:rsidP="008F5D51">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0.161</w:t>
            </w:r>
          </w:p>
        </w:tc>
        <w:tc>
          <w:tcPr>
            <w:tcW w:w="1954" w:type="dxa"/>
            <w:tcBorders>
              <w:top w:val="single" w:sz="4" w:space="0" w:color="auto"/>
              <w:left w:val="nil"/>
              <w:bottom w:val="single" w:sz="4" w:space="0" w:color="auto"/>
              <w:right w:val="single" w:sz="4" w:space="0" w:color="auto"/>
            </w:tcBorders>
            <w:shd w:val="clear" w:color="auto" w:fill="auto"/>
            <w:noWrap/>
            <w:vAlign w:val="center"/>
          </w:tcPr>
          <w:p w14:paraId="2CFA9B67" w14:textId="77777777" w:rsidR="008F5D51" w:rsidRPr="003D6EB5" w:rsidRDefault="008F5D51" w:rsidP="008F5D51">
            <w:pPr>
              <w:jc w:val="center"/>
              <w:rPr>
                <w:rFonts w:asciiTheme="majorBidi" w:hAnsiTheme="majorBidi" w:cstheme="majorBidi"/>
                <w:color w:val="000000"/>
                <w:sz w:val="21"/>
                <w:szCs w:val="21"/>
              </w:rPr>
            </w:pPr>
            <w:r w:rsidRPr="003D6EB5">
              <w:rPr>
                <w:rFonts w:asciiTheme="majorBidi" w:hAnsiTheme="majorBidi" w:cstheme="majorBidi"/>
                <w:color w:val="000000"/>
                <w:sz w:val="21"/>
                <w:szCs w:val="21"/>
              </w:rPr>
              <w:t>Mutual exclusivity</w:t>
            </w:r>
          </w:p>
        </w:tc>
      </w:tr>
    </w:tbl>
    <w:p w14:paraId="1DD6B6A6" w14:textId="77777777" w:rsidR="009E7209" w:rsidRPr="00FE29DA" w:rsidRDefault="009E7209" w:rsidP="003D6EB5">
      <w:pPr>
        <w:pStyle w:val="Text"/>
        <w:ind w:firstLine="420"/>
      </w:pPr>
    </w:p>
    <w:p w14:paraId="5129B35A" w14:textId="77777777" w:rsidR="00D90131" w:rsidRDefault="00D90131" w:rsidP="003D6EB5">
      <w:pPr>
        <w:pStyle w:val="Text"/>
        <w:ind w:firstLine="420"/>
      </w:pPr>
    </w:p>
    <w:p w14:paraId="121795CE" w14:textId="7EBC0509" w:rsidR="009107FA" w:rsidRPr="00FE29DA" w:rsidRDefault="003D6EB5" w:rsidP="00FE29DA">
      <w:pPr>
        <w:pStyle w:val="a3"/>
        <w:keepNext/>
        <w:jc w:val="both"/>
        <w:rPr>
          <w:rFonts w:asciiTheme="majorBidi" w:hAnsiTheme="majorBidi" w:cstheme="majorBidi"/>
          <w:b/>
          <w:bCs/>
          <w:i w:val="0"/>
          <w:iCs w:val="0"/>
          <w:color w:val="000000" w:themeColor="text1"/>
          <w:sz w:val="22"/>
          <w:szCs w:val="22"/>
        </w:rPr>
      </w:pPr>
      <w:bookmarkStart w:id="0" w:name="_GoBack"/>
      <w:bookmarkEnd w:id="0"/>
      <w:r w:rsidRPr="003D6EB5">
        <w:rPr>
          <w:rFonts w:asciiTheme="majorBidi" w:hAnsiTheme="majorBidi" w:cstheme="majorBidi"/>
          <w:b/>
          <w:bCs/>
          <w:i w:val="0"/>
          <w:iCs w:val="0"/>
          <w:color w:val="000000" w:themeColor="text1"/>
          <w:sz w:val="22"/>
          <w:szCs w:val="22"/>
        </w:rPr>
        <w:t>Supplementary Table</w:t>
      </w:r>
      <w:r w:rsidR="009107FA" w:rsidRPr="00FE29DA">
        <w:rPr>
          <w:rFonts w:asciiTheme="majorBidi" w:hAnsiTheme="majorBidi" w:cstheme="majorBidi"/>
          <w:b/>
          <w:bCs/>
          <w:i w:val="0"/>
          <w:iCs w:val="0"/>
          <w:color w:val="000000" w:themeColor="text1"/>
          <w:sz w:val="22"/>
          <w:szCs w:val="22"/>
        </w:rPr>
        <w:t xml:space="preserve"> </w:t>
      </w:r>
      <w:r w:rsidR="009107FA" w:rsidRPr="00FE29DA">
        <w:rPr>
          <w:rFonts w:asciiTheme="majorBidi" w:hAnsiTheme="majorBidi" w:cstheme="majorBidi"/>
          <w:b/>
          <w:bCs/>
          <w:i w:val="0"/>
          <w:iCs w:val="0"/>
          <w:noProof/>
          <w:color w:val="000000" w:themeColor="text1"/>
          <w:sz w:val="22"/>
          <w:szCs w:val="22"/>
        </w:rPr>
        <w:t>2</w:t>
      </w:r>
      <w:r>
        <w:rPr>
          <w:rFonts w:asciiTheme="majorBidi" w:hAnsiTheme="majorBidi" w:cstheme="majorBidi"/>
          <w:b/>
          <w:bCs/>
          <w:i w:val="0"/>
          <w:iCs w:val="0"/>
          <w:color w:val="000000" w:themeColor="text1"/>
          <w:sz w:val="22"/>
          <w:szCs w:val="22"/>
        </w:rPr>
        <w:t>.</w:t>
      </w:r>
      <w:r w:rsidR="009107FA" w:rsidRPr="00FE29DA">
        <w:rPr>
          <w:rFonts w:asciiTheme="majorBidi" w:hAnsiTheme="majorBidi" w:cstheme="majorBidi"/>
          <w:b/>
          <w:bCs/>
          <w:i w:val="0"/>
          <w:iCs w:val="0"/>
          <w:color w:val="000000" w:themeColor="text1"/>
          <w:sz w:val="22"/>
          <w:szCs w:val="22"/>
        </w:rPr>
        <w:t xml:space="preserve"> </w:t>
      </w:r>
      <w:r w:rsidR="009107FA" w:rsidRPr="00FE29DA">
        <w:rPr>
          <w:rFonts w:asciiTheme="majorBidi" w:hAnsiTheme="majorBidi" w:cstheme="majorBidi"/>
          <w:i w:val="0"/>
          <w:iCs w:val="0"/>
          <w:color w:val="000000" w:themeColor="text1"/>
          <w:sz w:val="22"/>
          <w:szCs w:val="22"/>
        </w:rPr>
        <w:t xml:space="preserve">The current ongoing clinical trials targeting metabolic pathways associated with mutated genes in MDS and myeloid leukemias. The table summarizes the list of recruiting clinical trials focused on targeted biological processes (according to </w:t>
      </w:r>
      <w:r w:rsidR="009107FA" w:rsidRPr="003D6EB5">
        <w:rPr>
          <w:rFonts w:asciiTheme="majorBidi" w:hAnsiTheme="majorBidi" w:cstheme="majorBidi"/>
          <w:i w:val="0"/>
          <w:iCs w:val="0"/>
          <w:sz w:val="22"/>
          <w:szCs w:val="22"/>
        </w:rPr>
        <w:t>https://clinicaltrials.gov</w:t>
      </w:r>
      <w:r w:rsidR="009107FA" w:rsidRPr="00FE29DA">
        <w:rPr>
          <w:rFonts w:asciiTheme="majorBidi" w:hAnsiTheme="majorBidi" w:cstheme="majorBidi"/>
          <w:i w:val="0"/>
          <w:iCs w:val="0"/>
          <w:color w:val="000000" w:themeColor="text1"/>
          <w:sz w:val="22"/>
          <w:szCs w:val="22"/>
        </w:rPr>
        <w:t>, retrieved on the 14</w:t>
      </w:r>
      <w:r w:rsidR="009107FA" w:rsidRPr="00FE29DA">
        <w:rPr>
          <w:rFonts w:asciiTheme="majorBidi" w:hAnsiTheme="majorBidi" w:cstheme="majorBidi"/>
          <w:i w:val="0"/>
          <w:iCs w:val="0"/>
          <w:color w:val="000000" w:themeColor="text1"/>
          <w:sz w:val="22"/>
          <w:szCs w:val="22"/>
          <w:vertAlign w:val="superscript"/>
        </w:rPr>
        <w:t>th</w:t>
      </w:r>
      <w:r w:rsidR="009107FA" w:rsidRPr="00FE29DA">
        <w:rPr>
          <w:rFonts w:asciiTheme="majorBidi" w:hAnsiTheme="majorBidi" w:cstheme="majorBidi"/>
          <w:i w:val="0"/>
          <w:iCs w:val="0"/>
          <w:color w:val="000000" w:themeColor="text1"/>
          <w:sz w:val="22"/>
          <w:szCs w:val="22"/>
        </w:rPr>
        <w:t xml:space="preserve"> of August, 2023).</w:t>
      </w:r>
    </w:p>
    <w:tbl>
      <w:tblPr>
        <w:tblStyle w:val="a4"/>
        <w:tblW w:w="0" w:type="auto"/>
        <w:jc w:val="center"/>
        <w:tblLook w:val="04A0" w:firstRow="1" w:lastRow="0" w:firstColumn="1" w:lastColumn="0" w:noHBand="0" w:noVBand="1"/>
      </w:tblPr>
      <w:tblGrid>
        <w:gridCol w:w="1345"/>
        <w:gridCol w:w="1011"/>
        <w:gridCol w:w="1555"/>
        <w:gridCol w:w="1669"/>
        <w:gridCol w:w="3770"/>
      </w:tblGrid>
      <w:tr w:rsidR="009107FA" w:rsidRPr="003D6EB5" w14:paraId="738BFB05" w14:textId="77777777" w:rsidTr="009107FA">
        <w:trPr>
          <w:trHeight w:val="320"/>
          <w:jc w:val="center"/>
        </w:trPr>
        <w:tc>
          <w:tcPr>
            <w:tcW w:w="1345" w:type="dxa"/>
            <w:noWrap/>
            <w:vAlign w:val="center"/>
            <w:hideMark/>
          </w:tcPr>
          <w:p w14:paraId="2DDAC811" w14:textId="77777777" w:rsidR="009107FA" w:rsidRPr="003D6EB5" w:rsidRDefault="009107FA" w:rsidP="00FE29DA">
            <w:pPr>
              <w:jc w:val="center"/>
              <w:rPr>
                <w:rFonts w:asciiTheme="majorBidi" w:hAnsiTheme="majorBidi" w:cstheme="majorBidi"/>
                <w:b/>
                <w:bCs/>
                <w:sz w:val="21"/>
                <w:szCs w:val="21"/>
              </w:rPr>
            </w:pPr>
            <w:r w:rsidRPr="003D6EB5">
              <w:rPr>
                <w:rFonts w:asciiTheme="majorBidi" w:hAnsiTheme="majorBidi" w:cstheme="majorBidi"/>
                <w:b/>
                <w:bCs/>
                <w:sz w:val="21"/>
                <w:szCs w:val="21"/>
              </w:rPr>
              <w:t>NCT Number</w:t>
            </w:r>
          </w:p>
        </w:tc>
        <w:tc>
          <w:tcPr>
            <w:tcW w:w="1011" w:type="dxa"/>
            <w:noWrap/>
            <w:vAlign w:val="center"/>
            <w:hideMark/>
          </w:tcPr>
          <w:p w14:paraId="3D3A11E9" w14:textId="77777777" w:rsidR="009107FA" w:rsidRPr="003D6EB5" w:rsidRDefault="009107FA" w:rsidP="00FE29DA">
            <w:pPr>
              <w:jc w:val="center"/>
              <w:rPr>
                <w:rFonts w:asciiTheme="majorBidi" w:hAnsiTheme="majorBidi" w:cstheme="majorBidi"/>
                <w:b/>
                <w:bCs/>
                <w:sz w:val="21"/>
                <w:szCs w:val="21"/>
              </w:rPr>
            </w:pPr>
            <w:r w:rsidRPr="003D6EB5">
              <w:rPr>
                <w:rFonts w:asciiTheme="majorBidi" w:hAnsiTheme="majorBidi" w:cstheme="majorBidi"/>
                <w:b/>
                <w:bCs/>
                <w:sz w:val="21"/>
                <w:szCs w:val="21"/>
              </w:rPr>
              <w:t>Study Status</w:t>
            </w:r>
          </w:p>
        </w:tc>
        <w:tc>
          <w:tcPr>
            <w:tcW w:w="1555" w:type="dxa"/>
            <w:noWrap/>
            <w:vAlign w:val="center"/>
            <w:hideMark/>
          </w:tcPr>
          <w:p w14:paraId="77CDFA66" w14:textId="77777777" w:rsidR="009107FA" w:rsidRPr="003D6EB5" w:rsidRDefault="009107FA" w:rsidP="00FE29DA">
            <w:pPr>
              <w:jc w:val="center"/>
              <w:rPr>
                <w:rFonts w:asciiTheme="majorBidi" w:hAnsiTheme="majorBidi" w:cstheme="majorBidi"/>
                <w:b/>
                <w:bCs/>
                <w:sz w:val="21"/>
                <w:szCs w:val="21"/>
              </w:rPr>
            </w:pPr>
            <w:r w:rsidRPr="003D6EB5">
              <w:rPr>
                <w:rFonts w:asciiTheme="majorBidi" w:hAnsiTheme="majorBidi" w:cstheme="majorBidi"/>
                <w:b/>
                <w:bCs/>
                <w:sz w:val="21"/>
                <w:szCs w:val="21"/>
              </w:rPr>
              <w:t>Conditions</w:t>
            </w:r>
          </w:p>
        </w:tc>
        <w:tc>
          <w:tcPr>
            <w:tcW w:w="1669" w:type="dxa"/>
            <w:noWrap/>
            <w:vAlign w:val="center"/>
            <w:hideMark/>
          </w:tcPr>
          <w:p w14:paraId="340C0454" w14:textId="77777777" w:rsidR="009107FA" w:rsidRPr="003D6EB5" w:rsidRDefault="009107FA" w:rsidP="00FE29DA">
            <w:pPr>
              <w:jc w:val="center"/>
              <w:rPr>
                <w:rFonts w:asciiTheme="majorBidi" w:hAnsiTheme="majorBidi" w:cstheme="majorBidi"/>
                <w:b/>
                <w:bCs/>
                <w:sz w:val="21"/>
                <w:szCs w:val="21"/>
              </w:rPr>
            </w:pPr>
            <w:r w:rsidRPr="003D6EB5">
              <w:rPr>
                <w:rFonts w:asciiTheme="majorBidi" w:hAnsiTheme="majorBidi" w:cstheme="majorBidi"/>
                <w:b/>
                <w:bCs/>
                <w:sz w:val="21"/>
                <w:szCs w:val="21"/>
              </w:rPr>
              <w:t>Targeted Biological Process</w:t>
            </w:r>
          </w:p>
        </w:tc>
        <w:tc>
          <w:tcPr>
            <w:tcW w:w="3770" w:type="dxa"/>
            <w:noWrap/>
            <w:vAlign w:val="center"/>
            <w:hideMark/>
          </w:tcPr>
          <w:p w14:paraId="4C0EEC4C" w14:textId="77777777" w:rsidR="009107FA" w:rsidRPr="003D6EB5" w:rsidRDefault="009107FA" w:rsidP="00FE29DA">
            <w:pPr>
              <w:jc w:val="center"/>
              <w:rPr>
                <w:rFonts w:asciiTheme="majorBidi" w:hAnsiTheme="majorBidi" w:cstheme="majorBidi"/>
                <w:b/>
                <w:bCs/>
                <w:sz w:val="21"/>
                <w:szCs w:val="21"/>
              </w:rPr>
            </w:pPr>
            <w:r w:rsidRPr="003D6EB5">
              <w:rPr>
                <w:rFonts w:asciiTheme="majorBidi" w:hAnsiTheme="majorBidi" w:cstheme="majorBidi"/>
                <w:b/>
                <w:bCs/>
                <w:sz w:val="21"/>
                <w:szCs w:val="21"/>
              </w:rPr>
              <w:t>Interventions/Drugs/Procedure</w:t>
            </w:r>
          </w:p>
        </w:tc>
      </w:tr>
      <w:tr w:rsidR="009107FA" w:rsidRPr="003D6EB5" w14:paraId="0B3F6F18" w14:textId="77777777" w:rsidTr="009107FA">
        <w:trPr>
          <w:trHeight w:val="320"/>
          <w:jc w:val="center"/>
        </w:trPr>
        <w:tc>
          <w:tcPr>
            <w:tcW w:w="1345" w:type="dxa"/>
            <w:noWrap/>
            <w:vAlign w:val="center"/>
            <w:hideMark/>
          </w:tcPr>
          <w:p w14:paraId="5C29DFBB"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NCT04493164</w:t>
            </w:r>
          </w:p>
        </w:tc>
        <w:tc>
          <w:tcPr>
            <w:tcW w:w="1011" w:type="dxa"/>
            <w:noWrap/>
            <w:vAlign w:val="center"/>
            <w:hideMark/>
          </w:tcPr>
          <w:p w14:paraId="4D78FEF2"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35D966FA"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70504F3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Mutant </w:t>
            </w:r>
            <w:r w:rsidRPr="003D6EB5">
              <w:rPr>
                <w:rFonts w:asciiTheme="majorBidi" w:hAnsiTheme="majorBidi" w:cstheme="majorBidi"/>
                <w:i/>
                <w:iCs/>
                <w:sz w:val="21"/>
                <w:szCs w:val="21"/>
              </w:rPr>
              <w:t>IDH1</w:t>
            </w:r>
            <w:r w:rsidRPr="003D6EB5">
              <w:rPr>
                <w:rFonts w:asciiTheme="majorBidi" w:hAnsiTheme="majorBidi" w:cstheme="majorBidi"/>
                <w:sz w:val="21"/>
                <w:szCs w:val="21"/>
              </w:rPr>
              <w:t xml:space="preserve"> Inhibitor</w:t>
            </w:r>
          </w:p>
        </w:tc>
        <w:tc>
          <w:tcPr>
            <w:tcW w:w="3770" w:type="dxa"/>
            <w:noWrap/>
            <w:vAlign w:val="center"/>
            <w:hideMark/>
          </w:tcPr>
          <w:p w14:paraId="53FC25B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Ivosidenib/Liposome-encapsulated Daunorubicin-Cytarabine</w:t>
            </w:r>
          </w:p>
        </w:tc>
      </w:tr>
      <w:tr w:rsidR="009107FA" w:rsidRPr="003D6EB5" w14:paraId="2574FA5C" w14:textId="77777777" w:rsidTr="009107FA">
        <w:trPr>
          <w:trHeight w:val="320"/>
          <w:jc w:val="center"/>
        </w:trPr>
        <w:tc>
          <w:tcPr>
            <w:tcW w:w="1345" w:type="dxa"/>
            <w:noWrap/>
            <w:vAlign w:val="center"/>
            <w:hideMark/>
          </w:tcPr>
          <w:p w14:paraId="1B959322"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NCT03503409</w:t>
            </w:r>
          </w:p>
        </w:tc>
        <w:tc>
          <w:tcPr>
            <w:tcW w:w="1011" w:type="dxa"/>
            <w:noWrap/>
            <w:vAlign w:val="center"/>
            <w:hideMark/>
          </w:tcPr>
          <w:p w14:paraId="543A47A8"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5ADBDCB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3FAFF6EF"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Mutant </w:t>
            </w:r>
            <w:r w:rsidRPr="003D6EB5">
              <w:rPr>
                <w:rFonts w:asciiTheme="majorBidi" w:hAnsiTheme="majorBidi" w:cstheme="majorBidi"/>
                <w:i/>
                <w:iCs/>
                <w:sz w:val="21"/>
                <w:szCs w:val="21"/>
              </w:rPr>
              <w:t>IDH1</w:t>
            </w:r>
            <w:r w:rsidRPr="003D6EB5">
              <w:rPr>
                <w:rFonts w:asciiTheme="majorBidi" w:hAnsiTheme="majorBidi" w:cstheme="majorBidi"/>
                <w:sz w:val="21"/>
                <w:szCs w:val="21"/>
              </w:rPr>
              <w:t xml:space="preserve"> Inhibitor</w:t>
            </w:r>
          </w:p>
        </w:tc>
        <w:tc>
          <w:tcPr>
            <w:tcW w:w="3770" w:type="dxa"/>
            <w:noWrap/>
            <w:vAlign w:val="center"/>
            <w:hideMark/>
          </w:tcPr>
          <w:p w14:paraId="5CA0F21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AG-120</w:t>
            </w:r>
          </w:p>
        </w:tc>
      </w:tr>
      <w:tr w:rsidR="009107FA" w:rsidRPr="003D6EB5" w14:paraId="7264077F" w14:textId="77777777" w:rsidTr="009107FA">
        <w:trPr>
          <w:trHeight w:val="320"/>
          <w:jc w:val="center"/>
        </w:trPr>
        <w:tc>
          <w:tcPr>
            <w:tcW w:w="1345" w:type="dxa"/>
            <w:noWrap/>
            <w:vAlign w:val="center"/>
            <w:hideMark/>
          </w:tcPr>
          <w:p w14:paraId="13B55B4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NCT03744390</w:t>
            </w:r>
          </w:p>
        </w:tc>
        <w:tc>
          <w:tcPr>
            <w:tcW w:w="1011" w:type="dxa"/>
            <w:noWrap/>
            <w:vAlign w:val="center"/>
            <w:hideMark/>
          </w:tcPr>
          <w:p w14:paraId="2F7AE9E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196B8D6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4E1D278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Mutant </w:t>
            </w:r>
            <w:r w:rsidRPr="003D6EB5">
              <w:rPr>
                <w:rFonts w:asciiTheme="majorBidi" w:hAnsiTheme="majorBidi" w:cstheme="majorBidi"/>
                <w:i/>
                <w:iCs/>
                <w:sz w:val="21"/>
                <w:szCs w:val="21"/>
              </w:rPr>
              <w:t>IDH2</w:t>
            </w:r>
            <w:r w:rsidRPr="003D6EB5">
              <w:rPr>
                <w:rFonts w:asciiTheme="majorBidi" w:hAnsiTheme="majorBidi" w:cstheme="majorBidi"/>
                <w:sz w:val="21"/>
                <w:szCs w:val="21"/>
              </w:rPr>
              <w:t xml:space="preserve"> Inhibitor</w:t>
            </w:r>
          </w:p>
        </w:tc>
        <w:tc>
          <w:tcPr>
            <w:tcW w:w="3770" w:type="dxa"/>
            <w:noWrap/>
            <w:vAlign w:val="center"/>
            <w:hideMark/>
          </w:tcPr>
          <w:p w14:paraId="4F83125B"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AG-221</w:t>
            </w:r>
          </w:p>
        </w:tc>
      </w:tr>
      <w:tr w:rsidR="009107FA" w:rsidRPr="003D6EB5" w14:paraId="1F09411E" w14:textId="77777777" w:rsidTr="009107FA">
        <w:trPr>
          <w:trHeight w:val="320"/>
          <w:jc w:val="center"/>
        </w:trPr>
        <w:tc>
          <w:tcPr>
            <w:tcW w:w="1345" w:type="dxa"/>
            <w:noWrap/>
            <w:vAlign w:val="center"/>
            <w:hideMark/>
          </w:tcPr>
          <w:p w14:paraId="02807632"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NCT04827719</w:t>
            </w:r>
          </w:p>
        </w:tc>
        <w:tc>
          <w:tcPr>
            <w:tcW w:w="1011" w:type="dxa"/>
            <w:noWrap/>
            <w:vAlign w:val="center"/>
            <w:hideMark/>
          </w:tcPr>
          <w:p w14:paraId="154314BD"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497F4F7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3418203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High-dose cytarabine delivery</w:t>
            </w:r>
          </w:p>
        </w:tc>
        <w:tc>
          <w:tcPr>
            <w:tcW w:w="3770" w:type="dxa"/>
            <w:noWrap/>
            <w:vAlign w:val="center"/>
            <w:hideMark/>
          </w:tcPr>
          <w:p w14:paraId="1C986FE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BST-236</w:t>
            </w:r>
          </w:p>
        </w:tc>
      </w:tr>
      <w:tr w:rsidR="009107FA" w:rsidRPr="003D6EB5" w14:paraId="63689974" w14:textId="77777777" w:rsidTr="009107FA">
        <w:trPr>
          <w:trHeight w:val="320"/>
          <w:jc w:val="center"/>
        </w:trPr>
        <w:tc>
          <w:tcPr>
            <w:tcW w:w="1345" w:type="dxa"/>
            <w:noWrap/>
            <w:vAlign w:val="center"/>
            <w:hideMark/>
          </w:tcPr>
          <w:p w14:paraId="4113D3B8"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NCT04279847</w:t>
            </w:r>
          </w:p>
        </w:tc>
        <w:tc>
          <w:tcPr>
            <w:tcW w:w="1011" w:type="dxa"/>
            <w:noWrap/>
            <w:vAlign w:val="center"/>
            <w:hideMark/>
          </w:tcPr>
          <w:p w14:paraId="30AE200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23103CE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w:t>
            </w:r>
          </w:p>
        </w:tc>
        <w:tc>
          <w:tcPr>
            <w:tcW w:w="1669" w:type="dxa"/>
            <w:noWrap/>
            <w:vAlign w:val="center"/>
            <w:hideMark/>
          </w:tcPr>
          <w:p w14:paraId="40FD743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i/>
                <w:iCs/>
                <w:sz w:val="21"/>
                <w:szCs w:val="21"/>
              </w:rPr>
              <w:t>BET</w:t>
            </w:r>
            <w:r w:rsidRPr="003D6EB5">
              <w:rPr>
                <w:rFonts w:asciiTheme="majorBidi" w:hAnsiTheme="majorBidi" w:cstheme="majorBidi"/>
                <w:sz w:val="21"/>
                <w:szCs w:val="21"/>
              </w:rPr>
              <w:t xml:space="preserve"> inhibitor and </w:t>
            </w:r>
            <w:r w:rsidRPr="003D6EB5">
              <w:rPr>
                <w:rFonts w:asciiTheme="majorBidi" w:hAnsiTheme="majorBidi" w:cstheme="majorBidi"/>
                <w:i/>
                <w:iCs/>
                <w:sz w:val="21"/>
                <w:szCs w:val="21"/>
              </w:rPr>
              <w:t>JAK</w:t>
            </w:r>
            <w:r w:rsidRPr="003D6EB5">
              <w:rPr>
                <w:rFonts w:asciiTheme="majorBidi" w:hAnsiTheme="majorBidi" w:cstheme="majorBidi"/>
                <w:sz w:val="21"/>
                <w:szCs w:val="21"/>
              </w:rPr>
              <w:t xml:space="preserve"> inhibitor</w:t>
            </w:r>
          </w:p>
        </w:tc>
        <w:tc>
          <w:tcPr>
            <w:tcW w:w="3770" w:type="dxa"/>
            <w:noWrap/>
            <w:vAlign w:val="center"/>
            <w:hideMark/>
          </w:tcPr>
          <w:p w14:paraId="5661077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INCB057643/Ruxolitinib</w:t>
            </w:r>
          </w:p>
        </w:tc>
      </w:tr>
      <w:tr w:rsidR="009107FA" w:rsidRPr="003D6EB5" w14:paraId="1DB8D8A1" w14:textId="77777777" w:rsidTr="009107FA">
        <w:trPr>
          <w:trHeight w:val="320"/>
          <w:jc w:val="center"/>
        </w:trPr>
        <w:tc>
          <w:tcPr>
            <w:tcW w:w="1345" w:type="dxa"/>
            <w:noWrap/>
            <w:vAlign w:val="center"/>
            <w:hideMark/>
          </w:tcPr>
          <w:p w14:paraId="3ED3D19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NCT04140487</w:t>
            </w:r>
          </w:p>
        </w:tc>
        <w:tc>
          <w:tcPr>
            <w:tcW w:w="1011" w:type="dxa"/>
            <w:noWrap/>
            <w:vAlign w:val="center"/>
            <w:hideMark/>
          </w:tcPr>
          <w:p w14:paraId="5F1BFDD2"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4FE54013"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28D7EA20"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i/>
                <w:iCs/>
                <w:sz w:val="21"/>
                <w:szCs w:val="21"/>
              </w:rPr>
              <w:t>FLT3</w:t>
            </w:r>
            <w:r w:rsidRPr="003D6EB5">
              <w:rPr>
                <w:rFonts w:asciiTheme="majorBidi" w:hAnsiTheme="majorBidi" w:cstheme="majorBidi"/>
                <w:sz w:val="21"/>
                <w:szCs w:val="21"/>
              </w:rPr>
              <w:t xml:space="preserve"> tyrosine kinase inhibitors and DNA Methylation and synthesis Inhibitor</w:t>
            </w:r>
          </w:p>
        </w:tc>
        <w:tc>
          <w:tcPr>
            <w:tcW w:w="3770" w:type="dxa"/>
            <w:noWrap/>
            <w:vAlign w:val="center"/>
            <w:hideMark/>
          </w:tcPr>
          <w:p w14:paraId="7E3DA390"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Azacitidine/Gilteritinib/Venetoclax</w:t>
            </w:r>
          </w:p>
        </w:tc>
      </w:tr>
      <w:tr w:rsidR="009107FA" w:rsidRPr="003D6EB5" w14:paraId="57CA08FA" w14:textId="77777777" w:rsidTr="009107FA">
        <w:trPr>
          <w:trHeight w:val="320"/>
          <w:jc w:val="center"/>
        </w:trPr>
        <w:tc>
          <w:tcPr>
            <w:tcW w:w="1345" w:type="dxa"/>
            <w:noWrap/>
            <w:vAlign w:val="center"/>
            <w:hideMark/>
          </w:tcPr>
          <w:p w14:paraId="575B622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NCT05010122</w:t>
            </w:r>
          </w:p>
        </w:tc>
        <w:tc>
          <w:tcPr>
            <w:tcW w:w="1011" w:type="dxa"/>
            <w:noWrap/>
            <w:vAlign w:val="center"/>
            <w:hideMark/>
          </w:tcPr>
          <w:p w14:paraId="67D0EE1F"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554BFC71"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5F206B71"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i/>
                <w:iCs/>
                <w:sz w:val="21"/>
                <w:szCs w:val="21"/>
              </w:rPr>
              <w:t>FLT3</w:t>
            </w:r>
            <w:r w:rsidRPr="003D6EB5">
              <w:rPr>
                <w:rFonts w:asciiTheme="majorBidi" w:hAnsiTheme="majorBidi" w:cstheme="majorBidi"/>
                <w:sz w:val="21"/>
                <w:szCs w:val="21"/>
              </w:rPr>
              <w:t xml:space="preserve"> tyrosine kinase inhibitor and DNMT1 Inhibitor</w:t>
            </w:r>
          </w:p>
        </w:tc>
        <w:tc>
          <w:tcPr>
            <w:tcW w:w="3770" w:type="dxa"/>
            <w:noWrap/>
            <w:vAlign w:val="center"/>
            <w:hideMark/>
          </w:tcPr>
          <w:p w14:paraId="79C6B992"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Decitabine and Cedazuridine/Gilteritinib/Venetoclax</w:t>
            </w:r>
          </w:p>
        </w:tc>
      </w:tr>
      <w:tr w:rsidR="009107FA" w:rsidRPr="003D6EB5" w14:paraId="64E3DF2E" w14:textId="77777777" w:rsidTr="009107FA">
        <w:trPr>
          <w:trHeight w:val="320"/>
          <w:jc w:val="center"/>
        </w:trPr>
        <w:tc>
          <w:tcPr>
            <w:tcW w:w="1345" w:type="dxa"/>
            <w:noWrap/>
            <w:vAlign w:val="center"/>
            <w:hideMark/>
          </w:tcPr>
          <w:p w14:paraId="7CC7513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NCT03661307</w:t>
            </w:r>
          </w:p>
        </w:tc>
        <w:tc>
          <w:tcPr>
            <w:tcW w:w="1011" w:type="dxa"/>
            <w:noWrap/>
            <w:vAlign w:val="center"/>
            <w:hideMark/>
          </w:tcPr>
          <w:p w14:paraId="058452A7"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40637ADA"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436CE126"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i/>
                <w:iCs/>
                <w:sz w:val="21"/>
                <w:szCs w:val="21"/>
              </w:rPr>
              <w:t>DNMT1</w:t>
            </w:r>
            <w:r w:rsidRPr="003D6EB5">
              <w:rPr>
                <w:rFonts w:asciiTheme="majorBidi" w:hAnsiTheme="majorBidi" w:cstheme="majorBidi"/>
                <w:sz w:val="21"/>
                <w:szCs w:val="21"/>
              </w:rPr>
              <w:t xml:space="preserve"> Inhibitor and </w:t>
            </w:r>
            <w:r w:rsidRPr="003D6EB5">
              <w:rPr>
                <w:rFonts w:asciiTheme="majorBidi" w:hAnsiTheme="majorBidi" w:cstheme="majorBidi"/>
                <w:i/>
                <w:iCs/>
                <w:sz w:val="21"/>
                <w:szCs w:val="21"/>
              </w:rPr>
              <w:t>FLT3</w:t>
            </w:r>
            <w:r w:rsidRPr="003D6EB5">
              <w:rPr>
                <w:rFonts w:asciiTheme="majorBidi" w:hAnsiTheme="majorBidi" w:cstheme="majorBidi"/>
                <w:sz w:val="21"/>
                <w:szCs w:val="21"/>
              </w:rPr>
              <w:t xml:space="preserve"> tyrosine kinase inhibitor</w:t>
            </w:r>
          </w:p>
        </w:tc>
        <w:tc>
          <w:tcPr>
            <w:tcW w:w="3770" w:type="dxa"/>
            <w:noWrap/>
            <w:vAlign w:val="center"/>
            <w:hideMark/>
          </w:tcPr>
          <w:p w14:paraId="4306547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Decitabine/Quizartinib/Venetoclax</w:t>
            </w:r>
          </w:p>
        </w:tc>
      </w:tr>
      <w:tr w:rsidR="009107FA" w:rsidRPr="003D6EB5" w14:paraId="5D0BC7DD" w14:textId="77777777" w:rsidTr="009107FA">
        <w:trPr>
          <w:trHeight w:val="320"/>
          <w:jc w:val="center"/>
        </w:trPr>
        <w:tc>
          <w:tcPr>
            <w:tcW w:w="1345" w:type="dxa"/>
            <w:noWrap/>
            <w:vAlign w:val="center"/>
            <w:hideMark/>
          </w:tcPr>
          <w:p w14:paraId="14F5C227"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NCT03683433</w:t>
            </w:r>
          </w:p>
        </w:tc>
        <w:tc>
          <w:tcPr>
            <w:tcW w:w="1011" w:type="dxa"/>
            <w:noWrap/>
            <w:vAlign w:val="center"/>
            <w:hideMark/>
          </w:tcPr>
          <w:p w14:paraId="33260ED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5614ECB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MDS/AML/CML</w:t>
            </w:r>
          </w:p>
        </w:tc>
        <w:tc>
          <w:tcPr>
            <w:tcW w:w="1669" w:type="dxa"/>
            <w:noWrap/>
            <w:vAlign w:val="center"/>
            <w:hideMark/>
          </w:tcPr>
          <w:p w14:paraId="7BC9ACF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DNA Methylation and synthesis </w:t>
            </w:r>
            <w:r w:rsidRPr="003D6EB5">
              <w:rPr>
                <w:rFonts w:asciiTheme="majorBidi" w:hAnsiTheme="majorBidi" w:cstheme="majorBidi"/>
                <w:sz w:val="21"/>
                <w:szCs w:val="21"/>
              </w:rPr>
              <w:lastRenderedPageBreak/>
              <w:t xml:space="preserve">Inhibitor and Mutant </w:t>
            </w:r>
            <w:r w:rsidRPr="003D6EB5">
              <w:rPr>
                <w:rFonts w:asciiTheme="majorBidi" w:hAnsiTheme="majorBidi" w:cstheme="majorBidi"/>
                <w:i/>
                <w:iCs/>
                <w:sz w:val="21"/>
                <w:szCs w:val="21"/>
              </w:rPr>
              <w:t>IDH</w:t>
            </w:r>
            <w:r w:rsidRPr="003D6EB5">
              <w:rPr>
                <w:rFonts w:asciiTheme="majorBidi" w:hAnsiTheme="majorBidi" w:cstheme="majorBidi"/>
                <w:sz w:val="21"/>
                <w:szCs w:val="21"/>
              </w:rPr>
              <w:t xml:space="preserve"> Inhibitor</w:t>
            </w:r>
          </w:p>
        </w:tc>
        <w:tc>
          <w:tcPr>
            <w:tcW w:w="3770" w:type="dxa"/>
            <w:noWrap/>
            <w:vAlign w:val="center"/>
            <w:hideMark/>
          </w:tcPr>
          <w:p w14:paraId="02FDC8C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lastRenderedPageBreak/>
              <w:t>Azacitidine/Enasidenib Mesylate</w:t>
            </w:r>
          </w:p>
        </w:tc>
      </w:tr>
      <w:tr w:rsidR="009107FA" w:rsidRPr="003D6EB5" w14:paraId="7F3204B3" w14:textId="77777777" w:rsidTr="009107FA">
        <w:trPr>
          <w:trHeight w:val="320"/>
          <w:jc w:val="center"/>
        </w:trPr>
        <w:tc>
          <w:tcPr>
            <w:tcW w:w="1345" w:type="dxa"/>
            <w:noWrap/>
            <w:vAlign w:val="center"/>
            <w:hideMark/>
          </w:tcPr>
          <w:p w14:paraId="27FF6020"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lastRenderedPageBreak/>
              <w:t>NCT05636514</w:t>
            </w:r>
          </w:p>
        </w:tc>
        <w:tc>
          <w:tcPr>
            <w:tcW w:w="1011" w:type="dxa"/>
            <w:noWrap/>
            <w:vAlign w:val="center"/>
            <w:hideMark/>
          </w:tcPr>
          <w:p w14:paraId="0B177941"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1E936CF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MDS/AML/CML</w:t>
            </w:r>
          </w:p>
        </w:tc>
        <w:tc>
          <w:tcPr>
            <w:tcW w:w="1669" w:type="dxa"/>
            <w:noWrap/>
            <w:vAlign w:val="center"/>
            <w:hideMark/>
          </w:tcPr>
          <w:p w14:paraId="18C8C622"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i/>
                <w:iCs/>
                <w:sz w:val="21"/>
                <w:szCs w:val="21"/>
              </w:rPr>
              <w:t>FLT3</w:t>
            </w:r>
            <w:r w:rsidRPr="003D6EB5">
              <w:rPr>
                <w:rFonts w:asciiTheme="majorBidi" w:hAnsiTheme="majorBidi" w:cstheme="majorBidi"/>
                <w:sz w:val="21"/>
                <w:szCs w:val="21"/>
              </w:rPr>
              <w:t xml:space="preserve"> tyrosine kinase inhibitor and </w:t>
            </w:r>
            <w:r w:rsidRPr="003D6EB5">
              <w:rPr>
                <w:rFonts w:asciiTheme="majorBidi" w:hAnsiTheme="majorBidi" w:cstheme="majorBidi"/>
                <w:i/>
                <w:iCs/>
                <w:sz w:val="21"/>
                <w:szCs w:val="21"/>
              </w:rPr>
              <w:t>FAK</w:t>
            </w:r>
            <w:r w:rsidRPr="003D6EB5">
              <w:rPr>
                <w:rFonts w:asciiTheme="majorBidi" w:hAnsiTheme="majorBidi" w:cstheme="majorBidi"/>
                <w:sz w:val="21"/>
                <w:szCs w:val="21"/>
              </w:rPr>
              <w:t xml:space="preserve"> inhibitor</w:t>
            </w:r>
          </w:p>
        </w:tc>
        <w:tc>
          <w:tcPr>
            <w:tcW w:w="3770" w:type="dxa"/>
            <w:noWrap/>
            <w:vAlign w:val="center"/>
            <w:hideMark/>
          </w:tcPr>
          <w:p w14:paraId="6965BDDF"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Decitabine-Cedazuridine 35 Mg-100 Mg ORAL TABLET/Defactinib</w:t>
            </w:r>
          </w:p>
        </w:tc>
      </w:tr>
      <w:tr w:rsidR="009107FA" w:rsidRPr="003D6EB5" w14:paraId="1D902904" w14:textId="77777777" w:rsidTr="009107FA">
        <w:trPr>
          <w:trHeight w:val="320"/>
          <w:jc w:val="center"/>
        </w:trPr>
        <w:tc>
          <w:tcPr>
            <w:tcW w:w="1345" w:type="dxa"/>
            <w:noWrap/>
            <w:vAlign w:val="center"/>
            <w:hideMark/>
          </w:tcPr>
          <w:p w14:paraId="3CEB4E6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NCT04493138</w:t>
            </w:r>
          </w:p>
        </w:tc>
        <w:tc>
          <w:tcPr>
            <w:tcW w:w="1011" w:type="dxa"/>
            <w:noWrap/>
            <w:vAlign w:val="center"/>
            <w:hideMark/>
          </w:tcPr>
          <w:p w14:paraId="2A2C67C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04959E9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MDS/CML</w:t>
            </w:r>
          </w:p>
        </w:tc>
        <w:tc>
          <w:tcPr>
            <w:tcW w:w="1669" w:type="dxa"/>
            <w:noWrap/>
            <w:vAlign w:val="center"/>
            <w:hideMark/>
          </w:tcPr>
          <w:p w14:paraId="7AF1351B"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i/>
                <w:iCs/>
                <w:sz w:val="21"/>
                <w:szCs w:val="21"/>
              </w:rPr>
              <w:t>DNMT1</w:t>
            </w:r>
            <w:r w:rsidRPr="003D6EB5">
              <w:rPr>
                <w:rFonts w:asciiTheme="majorBidi" w:hAnsiTheme="majorBidi" w:cstheme="majorBidi"/>
                <w:sz w:val="21"/>
                <w:szCs w:val="21"/>
              </w:rPr>
              <w:t xml:space="preserve"> Inhibitor and </w:t>
            </w:r>
            <w:r w:rsidRPr="003D6EB5">
              <w:rPr>
                <w:rFonts w:asciiTheme="majorBidi" w:hAnsiTheme="majorBidi" w:cstheme="majorBidi"/>
                <w:i/>
                <w:iCs/>
                <w:sz w:val="21"/>
                <w:szCs w:val="21"/>
              </w:rPr>
              <w:t>FLT3</w:t>
            </w:r>
            <w:r w:rsidRPr="003D6EB5">
              <w:rPr>
                <w:rFonts w:asciiTheme="majorBidi" w:hAnsiTheme="majorBidi" w:cstheme="majorBidi"/>
                <w:sz w:val="21"/>
                <w:szCs w:val="21"/>
              </w:rPr>
              <w:t xml:space="preserve"> tyrosine kinase inhibitor</w:t>
            </w:r>
          </w:p>
        </w:tc>
        <w:tc>
          <w:tcPr>
            <w:tcW w:w="3770" w:type="dxa"/>
            <w:noWrap/>
            <w:vAlign w:val="center"/>
            <w:hideMark/>
          </w:tcPr>
          <w:p w14:paraId="128F467F"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Azacitidine/Quizartinib</w:t>
            </w:r>
          </w:p>
        </w:tc>
      </w:tr>
      <w:tr w:rsidR="009107FA" w:rsidRPr="003D6EB5" w14:paraId="12A1A758" w14:textId="77777777" w:rsidTr="009107FA">
        <w:trPr>
          <w:trHeight w:val="320"/>
          <w:jc w:val="center"/>
        </w:trPr>
        <w:tc>
          <w:tcPr>
            <w:tcW w:w="1345" w:type="dxa"/>
            <w:noWrap/>
            <w:vAlign w:val="center"/>
            <w:hideMark/>
          </w:tcPr>
          <w:p w14:paraId="3E823EBE"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NCT05817955</w:t>
            </w:r>
          </w:p>
        </w:tc>
        <w:tc>
          <w:tcPr>
            <w:tcW w:w="1011" w:type="dxa"/>
            <w:noWrap/>
            <w:vAlign w:val="center"/>
            <w:hideMark/>
          </w:tcPr>
          <w:p w14:paraId="25ADD30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1885320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w:t>
            </w:r>
          </w:p>
        </w:tc>
        <w:tc>
          <w:tcPr>
            <w:tcW w:w="1669" w:type="dxa"/>
            <w:noWrap/>
            <w:vAlign w:val="center"/>
            <w:hideMark/>
          </w:tcPr>
          <w:p w14:paraId="48DDB7E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DNA Methylation and synthesis Inhibitor and </w:t>
            </w:r>
            <w:r w:rsidRPr="003D6EB5">
              <w:rPr>
                <w:rFonts w:asciiTheme="majorBidi" w:hAnsiTheme="majorBidi" w:cstheme="majorBidi"/>
                <w:i/>
                <w:iCs/>
                <w:sz w:val="21"/>
                <w:szCs w:val="21"/>
              </w:rPr>
              <w:t>JAK</w:t>
            </w:r>
            <w:r w:rsidRPr="003D6EB5">
              <w:rPr>
                <w:rFonts w:asciiTheme="majorBidi" w:hAnsiTheme="majorBidi" w:cstheme="majorBidi"/>
                <w:sz w:val="21"/>
                <w:szCs w:val="21"/>
              </w:rPr>
              <w:t xml:space="preserve"> Inhibitor</w:t>
            </w:r>
          </w:p>
        </w:tc>
        <w:tc>
          <w:tcPr>
            <w:tcW w:w="3770" w:type="dxa"/>
            <w:noWrap/>
            <w:vAlign w:val="center"/>
            <w:hideMark/>
          </w:tcPr>
          <w:p w14:paraId="7CE5B01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Azacitidine (AZA) with Ruxolitinib</w:t>
            </w:r>
          </w:p>
        </w:tc>
      </w:tr>
      <w:tr w:rsidR="009107FA" w:rsidRPr="003D6EB5" w14:paraId="6AC9E8A6" w14:textId="77777777" w:rsidTr="009107FA">
        <w:trPr>
          <w:trHeight w:val="320"/>
          <w:jc w:val="center"/>
        </w:trPr>
        <w:tc>
          <w:tcPr>
            <w:tcW w:w="1345" w:type="dxa"/>
            <w:noWrap/>
            <w:vAlign w:val="center"/>
            <w:hideMark/>
          </w:tcPr>
          <w:p w14:paraId="5E9DA2F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NCT04803721</w:t>
            </w:r>
          </w:p>
        </w:tc>
        <w:tc>
          <w:tcPr>
            <w:tcW w:w="1011" w:type="dxa"/>
            <w:noWrap/>
            <w:vAlign w:val="center"/>
            <w:hideMark/>
          </w:tcPr>
          <w:p w14:paraId="608219A6"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7A1EE46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w:t>
            </w:r>
          </w:p>
        </w:tc>
        <w:tc>
          <w:tcPr>
            <w:tcW w:w="1669" w:type="dxa"/>
            <w:noWrap/>
            <w:vAlign w:val="center"/>
            <w:hideMark/>
          </w:tcPr>
          <w:p w14:paraId="0E2DEB63" w14:textId="77777777" w:rsidR="009107FA" w:rsidRPr="003D6EB5" w:rsidRDefault="009107FA" w:rsidP="00FE29DA">
            <w:pPr>
              <w:jc w:val="center"/>
              <w:rPr>
                <w:rFonts w:asciiTheme="majorBidi" w:hAnsiTheme="majorBidi" w:cstheme="majorBidi"/>
                <w:sz w:val="21"/>
                <w:szCs w:val="21"/>
              </w:rPr>
            </w:pPr>
          </w:p>
        </w:tc>
        <w:tc>
          <w:tcPr>
            <w:tcW w:w="3770" w:type="dxa"/>
            <w:noWrap/>
            <w:vAlign w:val="center"/>
            <w:hideMark/>
          </w:tcPr>
          <w:p w14:paraId="12ABFB07" w14:textId="77777777" w:rsidR="009107FA" w:rsidRPr="003D6EB5" w:rsidRDefault="009107FA" w:rsidP="00FE29DA">
            <w:pPr>
              <w:jc w:val="center"/>
              <w:rPr>
                <w:rFonts w:asciiTheme="majorBidi" w:hAnsiTheme="majorBidi" w:cstheme="majorBidi"/>
                <w:sz w:val="21"/>
                <w:szCs w:val="21"/>
              </w:rPr>
            </w:pPr>
          </w:p>
        </w:tc>
      </w:tr>
      <w:tr w:rsidR="009107FA" w:rsidRPr="003D6EB5" w14:paraId="7E1579F8" w14:textId="77777777" w:rsidTr="009107FA">
        <w:trPr>
          <w:trHeight w:val="320"/>
          <w:jc w:val="center"/>
        </w:trPr>
        <w:tc>
          <w:tcPr>
            <w:tcW w:w="1345" w:type="dxa"/>
            <w:noWrap/>
            <w:vAlign w:val="center"/>
            <w:hideMark/>
          </w:tcPr>
          <w:p w14:paraId="5EEF0F7B"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NCT04250051</w:t>
            </w:r>
          </w:p>
        </w:tc>
        <w:tc>
          <w:tcPr>
            <w:tcW w:w="1011" w:type="dxa"/>
            <w:noWrap/>
            <w:vAlign w:val="center"/>
            <w:hideMark/>
          </w:tcPr>
          <w:p w14:paraId="1431C02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53A60D5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245A5C4F"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Mutant </w:t>
            </w:r>
            <w:r w:rsidRPr="003D6EB5">
              <w:rPr>
                <w:rFonts w:asciiTheme="majorBidi" w:hAnsiTheme="majorBidi" w:cstheme="majorBidi"/>
                <w:i/>
                <w:iCs/>
                <w:sz w:val="21"/>
                <w:szCs w:val="21"/>
              </w:rPr>
              <w:t>IDH1</w:t>
            </w:r>
            <w:r w:rsidRPr="003D6EB5">
              <w:rPr>
                <w:rFonts w:asciiTheme="majorBidi" w:hAnsiTheme="majorBidi" w:cstheme="majorBidi"/>
                <w:sz w:val="21"/>
                <w:szCs w:val="21"/>
              </w:rPr>
              <w:t xml:space="preserve"> Inhibitor</w:t>
            </w:r>
          </w:p>
        </w:tc>
        <w:tc>
          <w:tcPr>
            <w:tcW w:w="3770" w:type="dxa"/>
            <w:noWrap/>
            <w:vAlign w:val="center"/>
            <w:hideMark/>
          </w:tcPr>
          <w:p w14:paraId="399401CA"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Cytarabine/Filgrastim/Fludarabine/Fludarabine Phosphate/Ivosidenib</w:t>
            </w:r>
          </w:p>
        </w:tc>
      </w:tr>
      <w:tr w:rsidR="009107FA" w:rsidRPr="003D6EB5" w14:paraId="7A08F52D" w14:textId="77777777" w:rsidTr="009107FA">
        <w:trPr>
          <w:trHeight w:val="320"/>
          <w:jc w:val="center"/>
        </w:trPr>
        <w:tc>
          <w:tcPr>
            <w:tcW w:w="1345" w:type="dxa"/>
            <w:noWrap/>
            <w:vAlign w:val="center"/>
            <w:hideMark/>
          </w:tcPr>
          <w:p w14:paraId="18F52C43"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NCT04167917</w:t>
            </w:r>
          </w:p>
        </w:tc>
        <w:tc>
          <w:tcPr>
            <w:tcW w:w="1011" w:type="dxa"/>
            <w:noWrap/>
            <w:vAlign w:val="center"/>
            <w:hideMark/>
          </w:tcPr>
          <w:p w14:paraId="10AFC1E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41AECAA1"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MDS/AML/CML</w:t>
            </w:r>
          </w:p>
        </w:tc>
        <w:tc>
          <w:tcPr>
            <w:tcW w:w="1669" w:type="dxa"/>
            <w:noWrap/>
            <w:vAlign w:val="center"/>
            <w:hideMark/>
          </w:tcPr>
          <w:p w14:paraId="69A06B2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DNA methyltransferase 1 (</w:t>
            </w:r>
            <w:r w:rsidRPr="003D6EB5">
              <w:rPr>
                <w:rFonts w:asciiTheme="majorBidi" w:hAnsiTheme="majorBidi" w:cstheme="majorBidi"/>
                <w:i/>
                <w:iCs/>
                <w:sz w:val="21"/>
                <w:szCs w:val="21"/>
              </w:rPr>
              <w:t>DNMT1</w:t>
            </w:r>
            <w:r w:rsidRPr="003D6EB5">
              <w:rPr>
                <w:rFonts w:asciiTheme="majorBidi" w:hAnsiTheme="majorBidi" w:cstheme="majorBidi"/>
                <w:sz w:val="21"/>
                <w:szCs w:val="21"/>
              </w:rPr>
              <w:t>) inhibition</w:t>
            </w:r>
          </w:p>
        </w:tc>
        <w:tc>
          <w:tcPr>
            <w:tcW w:w="3770" w:type="dxa"/>
            <w:noWrap/>
            <w:vAlign w:val="center"/>
            <w:hideMark/>
          </w:tcPr>
          <w:p w14:paraId="4A3BFA9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NTX-301</w:t>
            </w:r>
          </w:p>
        </w:tc>
      </w:tr>
      <w:tr w:rsidR="009107FA" w:rsidRPr="003D6EB5" w14:paraId="541DFFD5" w14:textId="77777777" w:rsidTr="009107FA">
        <w:trPr>
          <w:trHeight w:val="320"/>
          <w:jc w:val="center"/>
        </w:trPr>
        <w:tc>
          <w:tcPr>
            <w:tcW w:w="1345" w:type="dxa"/>
            <w:noWrap/>
            <w:vAlign w:val="center"/>
            <w:hideMark/>
          </w:tcPr>
          <w:p w14:paraId="44B2B163"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NCT04187703</w:t>
            </w:r>
          </w:p>
        </w:tc>
        <w:tc>
          <w:tcPr>
            <w:tcW w:w="1011" w:type="dxa"/>
            <w:noWrap/>
            <w:vAlign w:val="center"/>
            <w:hideMark/>
          </w:tcPr>
          <w:p w14:paraId="164C0E7D"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7ED49DF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w:t>
            </w:r>
          </w:p>
        </w:tc>
        <w:tc>
          <w:tcPr>
            <w:tcW w:w="1669" w:type="dxa"/>
            <w:noWrap/>
            <w:vAlign w:val="center"/>
            <w:hideMark/>
          </w:tcPr>
          <w:p w14:paraId="3DBDBED0"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DNA methyltransferase (</w:t>
            </w:r>
            <w:r w:rsidRPr="003D6EB5">
              <w:rPr>
                <w:rFonts w:asciiTheme="majorBidi" w:hAnsiTheme="majorBidi" w:cstheme="majorBidi"/>
                <w:i/>
                <w:iCs/>
                <w:sz w:val="21"/>
                <w:szCs w:val="21"/>
              </w:rPr>
              <w:t>DNMT</w:t>
            </w:r>
            <w:r w:rsidRPr="003D6EB5">
              <w:rPr>
                <w:rFonts w:asciiTheme="majorBidi" w:hAnsiTheme="majorBidi" w:cstheme="majorBidi"/>
                <w:sz w:val="21"/>
                <w:szCs w:val="21"/>
              </w:rPr>
              <w:t>) inhibition</w:t>
            </w:r>
          </w:p>
        </w:tc>
        <w:tc>
          <w:tcPr>
            <w:tcW w:w="3770" w:type="dxa"/>
            <w:noWrap/>
            <w:vAlign w:val="center"/>
            <w:hideMark/>
          </w:tcPr>
          <w:p w14:paraId="334E0B8D"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5-azacytidine/Decitabine</w:t>
            </w:r>
          </w:p>
        </w:tc>
      </w:tr>
      <w:tr w:rsidR="009107FA" w:rsidRPr="003D6EB5" w14:paraId="6D7B3FB3" w14:textId="77777777" w:rsidTr="009107FA">
        <w:trPr>
          <w:trHeight w:val="320"/>
          <w:jc w:val="center"/>
        </w:trPr>
        <w:tc>
          <w:tcPr>
            <w:tcW w:w="1345" w:type="dxa"/>
            <w:noWrap/>
            <w:vAlign w:val="center"/>
            <w:hideMark/>
          </w:tcPr>
          <w:p w14:paraId="1DEC5F87"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NCT05282459</w:t>
            </w:r>
          </w:p>
        </w:tc>
        <w:tc>
          <w:tcPr>
            <w:tcW w:w="1011" w:type="dxa"/>
            <w:noWrap/>
            <w:vAlign w:val="center"/>
            <w:hideMark/>
          </w:tcPr>
          <w:p w14:paraId="10198D0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3F43BD87"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w:t>
            </w:r>
          </w:p>
        </w:tc>
        <w:tc>
          <w:tcPr>
            <w:tcW w:w="1669" w:type="dxa"/>
            <w:noWrap/>
            <w:vAlign w:val="center"/>
            <w:hideMark/>
          </w:tcPr>
          <w:p w14:paraId="24CAAD2D"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Mutant </w:t>
            </w:r>
            <w:r w:rsidRPr="003D6EB5">
              <w:rPr>
                <w:rFonts w:asciiTheme="majorBidi" w:hAnsiTheme="majorBidi" w:cstheme="majorBidi"/>
                <w:i/>
                <w:iCs/>
                <w:sz w:val="21"/>
                <w:szCs w:val="21"/>
              </w:rPr>
              <w:t>IDH2</w:t>
            </w:r>
            <w:r w:rsidRPr="003D6EB5">
              <w:rPr>
                <w:rFonts w:asciiTheme="majorBidi" w:hAnsiTheme="majorBidi" w:cstheme="majorBidi"/>
                <w:sz w:val="21"/>
                <w:szCs w:val="21"/>
              </w:rPr>
              <w:t xml:space="preserve"> Inhibitor</w:t>
            </w:r>
          </w:p>
        </w:tc>
        <w:tc>
          <w:tcPr>
            <w:tcW w:w="3770" w:type="dxa"/>
            <w:noWrap/>
            <w:vAlign w:val="center"/>
            <w:hideMark/>
          </w:tcPr>
          <w:p w14:paraId="0E62559E"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Enasidenib mesylat dose escalation</w:t>
            </w:r>
          </w:p>
        </w:tc>
      </w:tr>
      <w:tr w:rsidR="009107FA" w:rsidRPr="003D6EB5" w14:paraId="51098A29" w14:textId="77777777" w:rsidTr="009107FA">
        <w:trPr>
          <w:trHeight w:val="320"/>
          <w:jc w:val="center"/>
        </w:trPr>
        <w:tc>
          <w:tcPr>
            <w:tcW w:w="1345" w:type="dxa"/>
            <w:noWrap/>
            <w:vAlign w:val="center"/>
            <w:hideMark/>
          </w:tcPr>
          <w:p w14:paraId="2C47A3C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NCT04741945</w:t>
            </w:r>
          </w:p>
        </w:tc>
        <w:tc>
          <w:tcPr>
            <w:tcW w:w="1011" w:type="dxa"/>
            <w:noWrap/>
            <w:vAlign w:val="center"/>
            <w:hideMark/>
          </w:tcPr>
          <w:p w14:paraId="5363A6FE"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310A4EF8"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w:t>
            </w:r>
          </w:p>
        </w:tc>
        <w:tc>
          <w:tcPr>
            <w:tcW w:w="1669" w:type="dxa"/>
            <w:noWrap/>
            <w:vAlign w:val="center"/>
            <w:hideMark/>
          </w:tcPr>
          <w:p w14:paraId="73843AC3"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Antihyperglycemic</w:t>
            </w:r>
          </w:p>
        </w:tc>
        <w:tc>
          <w:tcPr>
            <w:tcW w:w="3770" w:type="dxa"/>
            <w:noWrap/>
            <w:vAlign w:val="center"/>
            <w:hideMark/>
          </w:tcPr>
          <w:p w14:paraId="32CF2D4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Metformin</w:t>
            </w:r>
          </w:p>
        </w:tc>
      </w:tr>
      <w:tr w:rsidR="009107FA" w:rsidRPr="003D6EB5" w14:paraId="57C06059" w14:textId="77777777" w:rsidTr="009107FA">
        <w:trPr>
          <w:trHeight w:val="320"/>
          <w:jc w:val="center"/>
        </w:trPr>
        <w:tc>
          <w:tcPr>
            <w:tcW w:w="1345" w:type="dxa"/>
            <w:noWrap/>
            <w:vAlign w:val="center"/>
            <w:hideMark/>
          </w:tcPr>
          <w:p w14:paraId="760620A8"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NCT04477291</w:t>
            </w:r>
          </w:p>
        </w:tc>
        <w:tc>
          <w:tcPr>
            <w:tcW w:w="1011" w:type="dxa"/>
            <w:noWrap/>
            <w:vAlign w:val="center"/>
            <w:hideMark/>
          </w:tcPr>
          <w:p w14:paraId="641FBE1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30CCA2AB"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35894EF1"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i/>
                <w:iCs/>
                <w:sz w:val="21"/>
                <w:szCs w:val="21"/>
              </w:rPr>
              <w:t>FLT3</w:t>
            </w:r>
            <w:r w:rsidRPr="003D6EB5">
              <w:rPr>
                <w:rFonts w:asciiTheme="majorBidi" w:hAnsiTheme="majorBidi" w:cstheme="majorBidi"/>
                <w:sz w:val="21"/>
                <w:szCs w:val="21"/>
              </w:rPr>
              <w:t xml:space="preserve"> Inhibitor</w:t>
            </w:r>
          </w:p>
        </w:tc>
        <w:tc>
          <w:tcPr>
            <w:tcW w:w="3770" w:type="dxa"/>
            <w:noWrap/>
            <w:vAlign w:val="center"/>
            <w:hideMark/>
          </w:tcPr>
          <w:p w14:paraId="6FA63EB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CG-806</w:t>
            </w:r>
          </w:p>
        </w:tc>
      </w:tr>
      <w:tr w:rsidR="009107FA" w:rsidRPr="003D6EB5" w14:paraId="23428392" w14:textId="77777777" w:rsidTr="009107FA">
        <w:trPr>
          <w:trHeight w:val="320"/>
          <w:jc w:val="center"/>
        </w:trPr>
        <w:tc>
          <w:tcPr>
            <w:tcW w:w="1345" w:type="dxa"/>
            <w:noWrap/>
            <w:vAlign w:val="center"/>
            <w:hideMark/>
          </w:tcPr>
          <w:p w14:paraId="0A3D11F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NCT03839771</w:t>
            </w:r>
          </w:p>
        </w:tc>
        <w:tc>
          <w:tcPr>
            <w:tcW w:w="1011" w:type="dxa"/>
            <w:noWrap/>
            <w:vAlign w:val="center"/>
            <w:hideMark/>
          </w:tcPr>
          <w:p w14:paraId="63E7368D"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3824A8C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716C7153"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Mutant </w:t>
            </w:r>
            <w:r w:rsidRPr="003D6EB5">
              <w:rPr>
                <w:rFonts w:asciiTheme="majorBidi" w:hAnsiTheme="majorBidi" w:cstheme="majorBidi"/>
                <w:i/>
                <w:iCs/>
                <w:sz w:val="21"/>
                <w:szCs w:val="21"/>
              </w:rPr>
              <w:t>IDH1</w:t>
            </w:r>
            <w:r w:rsidRPr="003D6EB5">
              <w:rPr>
                <w:rFonts w:asciiTheme="majorBidi" w:hAnsiTheme="majorBidi" w:cstheme="majorBidi"/>
                <w:sz w:val="21"/>
                <w:szCs w:val="21"/>
              </w:rPr>
              <w:t xml:space="preserve"> Inhibitor and Mutant </w:t>
            </w:r>
            <w:r w:rsidRPr="003D6EB5">
              <w:rPr>
                <w:rFonts w:asciiTheme="majorBidi" w:hAnsiTheme="majorBidi" w:cstheme="majorBidi"/>
                <w:i/>
                <w:iCs/>
                <w:sz w:val="21"/>
                <w:szCs w:val="21"/>
              </w:rPr>
              <w:t>IDH2</w:t>
            </w:r>
            <w:r w:rsidRPr="003D6EB5">
              <w:rPr>
                <w:rFonts w:asciiTheme="majorBidi" w:hAnsiTheme="majorBidi" w:cstheme="majorBidi"/>
                <w:sz w:val="21"/>
                <w:szCs w:val="21"/>
              </w:rPr>
              <w:t xml:space="preserve"> Inhibitor</w:t>
            </w:r>
          </w:p>
        </w:tc>
        <w:tc>
          <w:tcPr>
            <w:tcW w:w="3770" w:type="dxa"/>
            <w:noWrap/>
            <w:vAlign w:val="center"/>
            <w:hideMark/>
          </w:tcPr>
          <w:p w14:paraId="6844677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AG-120/Placebo for AG-120/AG-221/Placebo for AG-221</w:t>
            </w:r>
          </w:p>
        </w:tc>
      </w:tr>
      <w:tr w:rsidR="009107FA" w:rsidRPr="003D6EB5" w14:paraId="27F10DA1" w14:textId="77777777" w:rsidTr="009107FA">
        <w:trPr>
          <w:trHeight w:val="320"/>
          <w:jc w:val="center"/>
        </w:trPr>
        <w:tc>
          <w:tcPr>
            <w:tcW w:w="1345" w:type="dxa"/>
            <w:noWrap/>
            <w:vAlign w:val="center"/>
            <w:hideMark/>
          </w:tcPr>
          <w:p w14:paraId="49BE401F"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NCT05030675</w:t>
            </w:r>
          </w:p>
        </w:tc>
        <w:tc>
          <w:tcPr>
            <w:tcW w:w="1011" w:type="dxa"/>
            <w:noWrap/>
            <w:vAlign w:val="center"/>
            <w:hideMark/>
          </w:tcPr>
          <w:p w14:paraId="22AEB510"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2364EB73"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MDS/CML</w:t>
            </w:r>
          </w:p>
        </w:tc>
        <w:tc>
          <w:tcPr>
            <w:tcW w:w="1669" w:type="dxa"/>
            <w:noWrap/>
            <w:vAlign w:val="center"/>
            <w:hideMark/>
          </w:tcPr>
          <w:p w14:paraId="71A95CF0"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Tyrosine kinase inhibitor</w:t>
            </w:r>
          </w:p>
        </w:tc>
        <w:tc>
          <w:tcPr>
            <w:tcW w:w="3770" w:type="dxa"/>
            <w:noWrap/>
            <w:vAlign w:val="center"/>
            <w:hideMark/>
          </w:tcPr>
          <w:p w14:paraId="095F4BF1"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Fostamatinib</w:t>
            </w:r>
          </w:p>
        </w:tc>
      </w:tr>
      <w:tr w:rsidR="009107FA" w:rsidRPr="003D6EB5" w14:paraId="746E43FC" w14:textId="77777777" w:rsidTr="009107FA">
        <w:trPr>
          <w:trHeight w:val="320"/>
          <w:jc w:val="center"/>
        </w:trPr>
        <w:tc>
          <w:tcPr>
            <w:tcW w:w="1345" w:type="dxa"/>
            <w:noWrap/>
            <w:vAlign w:val="center"/>
            <w:hideMark/>
          </w:tcPr>
          <w:p w14:paraId="65A4B25A"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NCT03953898</w:t>
            </w:r>
          </w:p>
        </w:tc>
        <w:tc>
          <w:tcPr>
            <w:tcW w:w="1011" w:type="dxa"/>
            <w:noWrap/>
            <w:vAlign w:val="center"/>
            <w:hideMark/>
          </w:tcPr>
          <w:p w14:paraId="7A5B10DE"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12A2FD40"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w:t>
            </w:r>
          </w:p>
        </w:tc>
        <w:tc>
          <w:tcPr>
            <w:tcW w:w="1669" w:type="dxa"/>
            <w:noWrap/>
            <w:vAlign w:val="center"/>
            <w:hideMark/>
          </w:tcPr>
          <w:p w14:paraId="11DA499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poly (ADP-ribose) polymerase (PARP) inhibitor</w:t>
            </w:r>
          </w:p>
        </w:tc>
        <w:tc>
          <w:tcPr>
            <w:tcW w:w="3770" w:type="dxa"/>
            <w:noWrap/>
            <w:vAlign w:val="center"/>
            <w:hideMark/>
          </w:tcPr>
          <w:p w14:paraId="7E46927A"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Biospecimen Collection/Bone Marrow Aspiration/Olaparib</w:t>
            </w:r>
          </w:p>
        </w:tc>
      </w:tr>
      <w:tr w:rsidR="009107FA" w:rsidRPr="003D6EB5" w14:paraId="5E9173A4" w14:textId="77777777" w:rsidTr="009107FA">
        <w:trPr>
          <w:trHeight w:val="320"/>
          <w:jc w:val="center"/>
        </w:trPr>
        <w:tc>
          <w:tcPr>
            <w:tcW w:w="1345" w:type="dxa"/>
            <w:noWrap/>
            <w:vAlign w:val="center"/>
            <w:hideMark/>
          </w:tcPr>
          <w:p w14:paraId="45330984"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NCT03999723</w:t>
            </w:r>
          </w:p>
        </w:tc>
        <w:tc>
          <w:tcPr>
            <w:tcW w:w="1011" w:type="dxa"/>
            <w:noWrap/>
            <w:vAlign w:val="center"/>
            <w:hideMark/>
          </w:tcPr>
          <w:p w14:paraId="5200E73E"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07B40AA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MDS/AML/CML</w:t>
            </w:r>
          </w:p>
        </w:tc>
        <w:tc>
          <w:tcPr>
            <w:tcW w:w="1669" w:type="dxa"/>
            <w:noWrap/>
            <w:vAlign w:val="center"/>
            <w:hideMark/>
          </w:tcPr>
          <w:p w14:paraId="21091C9B" w14:textId="77777777" w:rsidR="009107FA" w:rsidRPr="003D6EB5" w:rsidRDefault="009107FA" w:rsidP="00FE29DA">
            <w:pPr>
              <w:jc w:val="center"/>
              <w:rPr>
                <w:rFonts w:asciiTheme="majorBidi" w:hAnsiTheme="majorBidi" w:cstheme="majorBidi"/>
                <w:sz w:val="21"/>
                <w:szCs w:val="21"/>
              </w:rPr>
            </w:pPr>
          </w:p>
        </w:tc>
        <w:tc>
          <w:tcPr>
            <w:tcW w:w="3770" w:type="dxa"/>
            <w:noWrap/>
            <w:vAlign w:val="center"/>
            <w:hideMark/>
          </w:tcPr>
          <w:p w14:paraId="759B36C7"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Vitamin C/Placebo</w:t>
            </w:r>
          </w:p>
        </w:tc>
      </w:tr>
      <w:tr w:rsidR="009107FA" w:rsidRPr="003D6EB5" w14:paraId="218047CE" w14:textId="77777777" w:rsidTr="009107FA">
        <w:trPr>
          <w:trHeight w:val="320"/>
          <w:jc w:val="center"/>
        </w:trPr>
        <w:tc>
          <w:tcPr>
            <w:tcW w:w="1345" w:type="dxa"/>
            <w:noWrap/>
            <w:vAlign w:val="center"/>
            <w:hideMark/>
          </w:tcPr>
          <w:p w14:paraId="0D0E4475"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NCT04764474</w:t>
            </w:r>
          </w:p>
        </w:tc>
        <w:tc>
          <w:tcPr>
            <w:tcW w:w="1011" w:type="dxa"/>
            <w:noWrap/>
            <w:vAlign w:val="center"/>
            <w:hideMark/>
          </w:tcPr>
          <w:p w14:paraId="7764E2DD"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Recruiting</w:t>
            </w:r>
          </w:p>
        </w:tc>
        <w:tc>
          <w:tcPr>
            <w:tcW w:w="1555" w:type="dxa"/>
            <w:noWrap/>
            <w:vAlign w:val="center"/>
            <w:hideMark/>
          </w:tcPr>
          <w:p w14:paraId="7460387C"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Hematological Malignancies With </w:t>
            </w:r>
            <w:r w:rsidRPr="003D6EB5">
              <w:rPr>
                <w:rFonts w:asciiTheme="majorBidi" w:hAnsiTheme="majorBidi" w:cstheme="majorBidi"/>
                <w:i/>
                <w:iCs/>
                <w:sz w:val="21"/>
                <w:szCs w:val="21"/>
              </w:rPr>
              <w:t>IDH</w:t>
            </w:r>
            <w:r w:rsidRPr="003D6EB5">
              <w:rPr>
                <w:rFonts w:asciiTheme="majorBidi" w:hAnsiTheme="majorBidi" w:cstheme="majorBidi"/>
                <w:sz w:val="21"/>
                <w:szCs w:val="21"/>
              </w:rPr>
              <w:t xml:space="preserve"> mutations</w:t>
            </w:r>
          </w:p>
        </w:tc>
        <w:tc>
          <w:tcPr>
            <w:tcW w:w="1669" w:type="dxa"/>
            <w:noWrap/>
            <w:vAlign w:val="center"/>
            <w:hideMark/>
          </w:tcPr>
          <w:p w14:paraId="2A63E529"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 xml:space="preserve">Mutant </w:t>
            </w:r>
            <w:r w:rsidRPr="003D6EB5">
              <w:rPr>
                <w:rFonts w:asciiTheme="majorBidi" w:hAnsiTheme="majorBidi" w:cstheme="majorBidi"/>
                <w:i/>
                <w:iCs/>
                <w:sz w:val="21"/>
                <w:szCs w:val="21"/>
              </w:rPr>
              <w:t>IDH1/2</w:t>
            </w:r>
            <w:r w:rsidRPr="003D6EB5">
              <w:rPr>
                <w:rFonts w:asciiTheme="majorBidi" w:hAnsiTheme="majorBidi" w:cstheme="majorBidi"/>
                <w:sz w:val="21"/>
                <w:szCs w:val="21"/>
              </w:rPr>
              <w:t xml:space="preserve"> Inhibitor</w:t>
            </w:r>
          </w:p>
        </w:tc>
        <w:tc>
          <w:tcPr>
            <w:tcW w:w="3770" w:type="dxa"/>
            <w:noWrap/>
            <w:vAlign w:val="center"/>
            <w:hideMark/>
          </w:tcPr>
          <w:p w14:paraId="555B0FF7" w14:textId="77777777" w:rsidR="009107FA" w:rsidRPr="003D6EB5" w:rsidRDefault="009107FA" w:rsidP="00FE29DA">
            <w:pPr>
              <w:jc w:val="center"/>
              <w:rPr>
                <w:rFonts w:asciiTheme="majorBidi" w:hAnsiTheme="majorBidi" w:cstheme="majorBidi"/>
                <w:sz w:val="21"/>
                <w:szCs w:val="21"/>
              </w:rPr>
            </w:pPr>
            <w:r w:rsidRPr="003D6EB5">
              <w:rPr>
                <w:rFonts w:asciiTheme="majorBidi" w:hAnsiTheme="majorBidi" w:cstheme="majorBidi"/>
                <w:sz w:val="21"/>
                <w:szCs w:val="21"/>
              </w:rPr>
              <w:t>HMPL-306</w:t>
            </w:r>
          </w:p>
        </w:tc>
      </w:tr>
    </w:tbl>
    <w:p w14:paraId="514F71D7" w14:textId="77777777" w:rsidR="00D90131" w:rsidRPr="00FE29DA" w:rsidRDefault="00D90131" w:rsidP="00FE29DA">
      <w:pPr>
        <w:rPr>
          <w:rFonts w:asciiTheme="majorBidi" w:hAnsiTheme="majorBidi" w:cstheme="majorBidi"/>
          <w:sz w:val="22"/>
          <w:szCs w:val="22"/>
        </w:rPr>
      </w:pPr>
    </w:p>
    <w:sectPr w:rsidR="00D90131" w:rsidRPr="00FE29DA" w:rsidSect="003D6EB5">
      <w:pgSz w:w="12240" w:h="15840"/>
      <w:pgMar w:top="1440" w:right="1440" w:bottom="1440" w:left="1440"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3FB00" w14:textId="77777777" w:rsidR="00171C4D" w:rsidRDefault="00171C4D" w:rsidP="003D6EB5">
      <w:r>
        <w:separator/>
      </w:r>
    </w:p>
  </w:endnote>
  <w:endnote w:type="continuationSeparator" w:id="0">
    <w:p w14:paraId="431BBCF5" w14:textId="77777777" w:rsidR="00171C4D" w:rsidRDefault="00171C4D" w:rsidP="003D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0A4AB" w14:textId="77777777" w:rsidR="00171C4D" w:rsidRDefault="00171C4D" w:rsidP="003D6EB5">
      <w:r>
        <w:separator/>
      </w:r>
    </w:p>
  </w:footnote>
  <w:footnote w:type="continuationSeparator" w:id="0">
    <w:p w14:paraId="2CE32B13" w14:textId="77777777" w:rsidR="00171C4D" w:rsidRDefault="00171C4D" w:rsidP="003D6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31"/>
    <w:rsid w:val="00004047"/>
    <w:rsid w:val="00005675"/>
    <w:rsid w:val="00022C75"/>
    <w:rsid w:val="00022E4E"/>
    <w:rsid w:val="000365C4"/>
    <w:rsid w:val="0004579C"/>
    <w:rsid w:val="00070EA1"/>
    <w:rsid w:val="00071C7B"/>
    <w:rsid w:val="00077A65"/>
    <w:rsid w:val="0008030D"/>
    <w:rsid w:val="0008041A"/>
    <w:rsid w:val="0009078E"/>
    <w:rsid w:val="000B5AAF"/>
    <w:rsid w:val="000C1ADC"/>
    <w:rsid w:val="000C31B6"/>
    <w:rsid w:val="000C7F63"/>
    <w:rsid w:val="000D39AD"/>
    <w:rsid w:val="000D3C07"/>
    <w:rsid w:val="000D4F50"/>
    <w:rsid w:val="000D5673"/>
    <w:rsid w:val="000D5ACA"/>
    <w:rsid w:val="000F07F7"/>
    <w:rsid w:val="000F5B88"/>
    <w:rsid w:val="000F6491"/>
    <w:rsid w:val="000F6CD3"/>
    <w:rsid w:val="0010471E"/>
    <w:rsid w:val="00107B0E"/>
    <w:rsid w:val="00112D87"/>
    <w:rsid w:val="001136BD"/>
    <w:rsid w:val="0011601C"/>
    <w:rsid w:val="00116C61"/>
    <w:rsid w:val="00116CD3"/>
    <w:rsid w:val="00122476"/>
    <w:rsid w:val="00127D3C"/>
    <w:rsid w:val="00130074"/>
    <w:rsid w:val="001465C1"/>
    <w:rsid w:val="00146865"/>
    <w:rsid w:val="00150FB4"/>
    <w:rsid w:val="00154ECB"/>
    <w:rsid w:val="00162B99"/>
    <w:rsid w:val="00163D71"/>
    <w:rsid w:val="001654F1"/>
    <w:rsid w:val="00171C4D"/>
    <w:rsid w:val="00175BFB"/>
    <w:rsid w:val="00194018"/>
    <w:rsid w:val="00197B54"/>
    <w:rsid w:val="001A34D6"/>
    <w:rsid w:val="001B195F"/>
    <w:rsid w:val="001C0E42"/>
    <w:rsid w:val="001D19D8"/>
    <w:rsid w:val="001D2998"/>
    <w:rsid w:val="001D516B"/>
    <w:rsid w:val="001D6267"/>
    <w:rsid w:val="001D7E84"/>
    <w:rsid w:val="001E079B"/>
    <w:rsid w:val="00200CC7"/>
    <w:rsid w:val="0020696E"/>
    <w:rsid w:val="0022010F"/>
    <w:rsid w:val="0022276D"/>
    <w:rsid w:val="0023165C"/>
    <w:rsid w:val="002342E1"/>
    <w:rsid w:val="002343A3"/>
    <w:rsid w:val="00235C9E"/>
    <w:rsid w:val="0024365B"/>
    <w:rsid w:val="00246A0D"/>
    <w:rsid w:val="002543D4"/>
    <w:rsid w:val="00261592"/>
    <w:rsid w:val="00266484"/>
    <w:rsid w:val="00274C13"/>
    <w:rsid w:val="00274E54"/>
    <w:rsid w:val="00275388"/>
    <w:rsid w:val="00275954"/>
    <w:rsid w:val="00280D1B"/>
    <w:rsid w:val="00281321"/>
    <w:rsid w:val="00283D65"/>
    <w:rsid w:val="002841DB"/>
    <w:rsid w:val="00292F86"/>
    <w:rsid w:val="00293206"/>
    <w:rsid w:val="002B1C90"/>
    <w:rsid w:val="002B2C47"/>
    <w:rsid w:val="002B2DA7"/>
    <w:rsid w:val="002C2A4E"/>
    <w:rsid w:val="002C6218"/>
    <w:rsid w:val="002C67EF"/>
    <w:rsid w:val="002C6A4C"/>
    <w:rsid w:val="002D1471"/>
    <w:rsid w:val="002D528E"/>
    <w:rsid w:val="002D5509"/>
    <w:rsid w:val="002D5D68"/>
    <w:rsid w:val="002E21B7"/>
    <w:rsid w:val="002E5738"/>
    <w:rsid w:val="002E7106"/>
    <w:rsid w:val="002F2411"/>
    <w:rsid w:val="00302242"/>
    <w:rsid w:val="0030578E"/>
    <w:rsid w:val="003150CA"/>
    <w:rsid w:val="003208D6"/>
    <w:rsid w:val="0032132F"/>
    <w:rsid w:val="00326B61"/>
    <w:rsid w:val="00331C07"/>
    <w:rsid w:val="003333D9"/>
    <w:rsid w:val="0033795D"/>
    <w:rsid w:val="00340E08"/>
    <w:rsid w:val="003410B8"/>
    <w:rsid w:val="0034658B"/>
    <w:rsid w:val="003473AF"/>
    <w:rsid w:val="00350298"/>
    <w:rsid w:val="0035352E"/>
    <w:rsid w:val="00354AC8"/>
    <w:rsid w:val="003602F5"/>
    <w:rsid w:val="00362B81"/>
    <w:rsid w:val="00370F6F"/>
    <w:rsid w:val="00371012"/>
    <w:rsid w:val="00376BAF"/>
    <w:rsid w:val="00380293"/>
    <w:rsid w:val="00383DA7"/>
    <w:rsid w:val="00391E1A"/>
    <w:rsid w:val="00394AFB"/>
    <w:rsid w:val="003A2CCF"/>
    <w:rsid w:val="003A3A60"/>
    <w:rsid w:val="003B4EEB"/>
    <w:rsid w:val="003B79F0"/>
    <w:rsid w:val="003B7EB2"/>
    <w:rsid w:val="003C1EEF"/>
    <w:rsid w:val="003D4012"/>
    <w:rsid w:val="003D60C5"/>
    <w:rsid w:val="003D61E8"/>
    <w:rsid w:val="003D6EB5"/>
    <w:rsid w:val="003E6AB4"/>
    <w:rsid w:val="003F4885"/>
    <w:rsid w:val="003F628A"/>
    <w:rsid w:val="003F68FB"/>
    <w:rsid w:val="00401000"/>
    <w:rsid w:val="0040120B"/>
    <w:rsid w:val="00425917"/>
    <w:rsid w:val="0043223F"/>
    <w:rsid w:val="004429F3"/>
    <w:rsid w:val="00456F56"/>
    <w:rsid w:val="00472550"/>
    <w:rsid w:val="004751D0"/>
    <w:rsid w:val="00485071"/>
    <w:rsid w:val="0048687E"/>
    <w:rsid w:val="00491C19"/>
    <w:rsid w:val="004936EA"/>
    <w:rsid w:val="00497519"/>
    <w:rsid w:val="004A60FF"/>
    <w:rsid w:val="004B54BB"/>
    <w:rsid w:val="004B5D05"/>
    <w:rsid w:val="004B7A36"/>
    <w:rsid w:val="004C740A"/>
    <w:rsid w:val="004D102A"/>
    <w:rsid w:val="004D2BEE"/>
    <w:rsid w:val="004E61D7"/>
    <w:rsid w:val="004E67A3"/>
    <w:rsid w:val="00502AF4"/>
    <w:rsid w:val="00512307"/>
    <w:rsid w:val="0051474C"/>
    <w:rsid w:val="00517B5D"/>
    <w:rsid w:val="005463C8"/>
    <w:rsid w:val="00554347"/>
    <w:rsid w:val="00556610"/>
    <w:rsid w:val="005870D9"/>
    <w:rsid w:val="0059066C"/>
    <w:rsid w:val="00590DAB"/>
    <w:rsid w:val="005A2A4B"/>
    <w:rsid w:val="005C34E7"/>
    <w:rsid w:val="005E1C5F"/>
    <w:rsid w:val="005E20A3"/>
    <w:rsid w:val="005F4FB4"/>
    <w:rsid w:val="005F69E1"/>
    <w:rsid w:val="00610474"/>
    <w:rsid w:val="00615C02"/>
    <w:rsid w:val="00630CAC"/>
    <w:rsid w:val="00634CC0"/>
    <w:rsid w:val="006352E7"/>
    <w:rsid w:val="00641887"/>
    <w:rsid w:val="00642156"/>
    <w:rsid w:val="00653A0C"/>
    <w:rsid w:val="0066200F"/>
    <w:rsid w:val="00662A70"/>
    <w:rsid w:val="006768D5"/>
    <w:rsid w:val="006769F0"/>
    <w:rsid w:val="006823BD"/>
    <w:rsid w:val="00690955"/>
    <w:rsid w:val="00692692"/>
    <w:rsid w:val="00692C5D"/>
    <w:rsid w:val="006A1B96"/>
    <w:rsid w:val="006A37E7"/>
    <w:rsid w:val="006B4771"/>
    <w:rsid w:val="006B74C9"/>
    <w:rsid w:val="006C5C8F"/>
    <w:rsid w:val="006D1864"/>
    <w:rsid w:val="006D42F7"/>
    <w:rsid w:val="006E32D1"/>
    <w:rsid w:val="006E679D"/>
    <w:rsid w:val="006F13E0"/>
    <w:rsid w:val="006F4417"/>
    <w:rsid w:val="006F4CF5"/>
    <w:rsid w:val="007059E8"/>
    <w:rsid w:val="007071FB"/>
    <w:rsid w:val="0071099D"/>
    <w:rsid w:val="007119B5"/>
    <w:rsid w:val="007147D6"/>
    <w:rsid w:val="00715336"/>
    <w:rsid w:val="007170B7"/>
    <w:rsid w:val="00720A63"/>
    <w:rsid w:val="00721A4E"/>
    <w:rsid w:val="007224A1"/>
    <w:rsid w:val="0072534E"/>
    <w:rsid w:val="0072564E"/>
    <w:rsid w:val="00731DF2"/>
    <w:rsid w:val="00732C0C"/>
    <w:rsid w:val="007376D9"/>
    <w:rsid w:val="00740583"/>
    <w:rsid w:val="0074491C"/>
    <w:rsid w:val="007454E2"/>
    <w:rsid w:val="00746B41"/>
    <w:rsid w:val="0075265A"/>
    <w:rsid w:val="00767063"/>
    <w:rsid w:val="007674C2"/>
    <w:rsid w:val="00774431"/>
    <w:rsid w:val="00780EEC"/>
    <w:rsid w:val="00781A3A"/>
    <w:rsid w:val="00785336"/>
    <w:rsid w:val="007910E9"/>
    <w:rsid w:val="0079157B"/>
    <w:rsid w:val="00794FEF"/>
    <w:rsid w:val="007B32B9"/>
    <w:rsid w:val="007B5B29"/>
    <w:rsid w:val="007B70AB"/>
    <w:rsid w:val="007C2EC1"/>
    <w:rsid w:val="007C4ED8"/>
    <w:rsid w:val="007D10FB"/>
    <w:rsid w:val="007D2EB9"/>
    <w:rsid w:val="007D31F0"/>
    <w:rsid w:val="007D5531"/>
    <w:rsid w:val="007F04CA"/>
    <w:rsid w:val="007F14D0"/>
    <w:rsid w:val="007F6A8B"/>
    <w:rsid w:val="007F7806"/>
    <w:rsid w:val="0080272F"/>
    <w:rsid w:val="008037DD"/>
    <w:rsid w:val="00803DC9"/>
    <w:rsid w:val="008073F3"/>
    <w:rsid w:val="008207BA"/>
    <w:rsid w:val="00831FD0"/>
    <w:rsid w:val="008339D2"/>
    <w:rsid w:val="008366FF"/>
    <w:rsid w:val="00842ABD"/>
    <w:rsid w:val="00847573"/>
    <w:rsid w:val="0086110E"/>
    <w:rsid w:val="00861DF5"/>
    <w:rsid w:val="00865DDC"/>
    <w:rsid w:val="00866F12"/>
    <w:rsid w:val="00872B00"/>
    <w:rsid w:val="00873191"/>
    <w:rsid w:val="00881956"/>
    <w:rsid w:val="00884672"/>
    <w:rsid w:val="00885AD8"/>
    <w:rsid w:val="008968FE"/>
    <w:rsid w:val="008A5258"/>
    <w:rsid w:val="008B7AA1"/>
    <w:rsid w:val="008C5A8E"/>
    <w:rsid w:val="008C74AF"/>
    <w:rsid w:val="008D085E"/>
    <w:rsid w:val="008D2205"/>
    <w:rsid w:val="008D2FE5"/>
    <w:rsid w:val="008D6940"/>
    <w:rsid w:val="008E20D2"/>
    <w:rsid w:val="008F2776"/>
    <w:rsid w:val="008F5D51"/>
    <w:rsid w:val="008F5F21"/>
    <w:rsid w:val="009107FA"/>
    <w:rsid w:val="009217CC"/>
    <w:rsid w:val="00923130"/>
    <w:rsid w:val="0093139D"/>
    <w:rsid w:val="00932BD4"/>
    <w:rsid w:val="0093424E"/>
    <w:rsid w:val="009401B2"/>
    <w:rsid w:val="0094023F"/>
    <w:rsid w:val="00941670"/>
    <w:rsid w:val="00941BEB"/>
    <w:rsid w:val="00945A43"/>
    <w:rsid w:val="00957908"/>
    <w:rsid w:val="00961F6A"/>
    <w:rsid w:val="009717BE"/>
    <w:rsid w:val="00980E83"/>
    <w:rsid w:val="009829EC"/>
    <w:rsid w:val="00982DD4"/>
    <w:rsid w:val="0098355E"/>
    <w:rsid w:val="0099069D"/>
    <w:rsid w:val="0099732D"/>
    <w:rsid w:val="009A10B4"/>
    <w:rsid w:val="009A4566"/>
    <w:rsid w:val="009B2059"/>
    <w:rsid w:val="009B45A8"/>
    <w:rsid w:val="009B5EEB"/>
    <w:rsid w:val="009C3015"/>
    <w:rsid w:val="009C5705"/>
    <w:rsid w:val="009D2D95"/>
    <w:rsid w:val="009E431B"/>
    <w:rsid w:val="009E4DFE"/>
    <w:rsid w:val="009E7209"/>
    <w:rsid w:val="009F0089"/>
    <w:rsid w:val="009F5DCB"/>
    <w:rsid w:val="009F7DCA"/>
    <w:rsid w:val="00A056E6"/>
    <w:rsid w:val="00A079A0"/>
    <w:rsid w:val="00A147C0"/>
    <w:rsid w:val="00A201A9"/>
    <w:rsid w:val="00A259A6"/>
    <w:rsid w:val="00A32155"/>
    <w:rsid w:val="00A3371B"/>
    <w:rsid w:val="00A355B8"/>
    <w:rsid w:val="00A51E7F"/>
    <w:rsid w:val="00A61F8A"/>
    <w:rsid w:val="00A651A7"/>
    <w:rsid w:val="00A654CA"/>
    <w:rsid w:val="00A84EF5"/>
    <w:rsid w:val="00A87961"/>
    <w:rsid w:val="00A90E17"/>
    <w:rsid w:val="00A9684E"/>
    <w:rsid w:val="00A96EFF"/>
    <w:rsid w:val="00A972EB"/>
    <w:rsid w:val="00AB0139"/>
    <w:rsid w:val="00AB562B"/>
    <w:rsid w:val="00AC0EB0"/>
    <w:rsid w:val="00AC15A4"/>
    <w:rsid w:val="00AC2754"/>
    <w:rsid w:val="00AC4682"/>
    <w:rsid w:val="00AD0835"/>
    <w:rsid w:val="00AE20B5"/>
    <w:rsid w:val="00AF3591"/>
    <w:rsid w:val="00AF5A91"/>
    <w:rsid w:val="00B0218B"/>
    <w:rsid w:val="00B04279"/>
    <w:rsid w:val="00B058BA"/>
    <w:rsid w:val="00B07BC1"/>
    <w:rsid w:val="00B109EE"/>
    <w:rsid w:val="00B16D29"/>
    <w:rsid w:val="00B30D7D"/>
    <w:rsid w:val="00B36D5E"/>
    <w:rsid w:val="00B42C51"/>
    <w:rsid w:val="00B46F04"/>
    <w:rsid w:val="00B51635"/>
    <w:rsid w:val="00B57E8D"/>
    <w:rsid w:val="00B622FE"/>
    <w:rsid w:val="00B65DF4"/>
    <w:rsid w:val="00B82738"/>
    <w:rsid w:val="00B8310F"/>
    <w:rsid w:val="00B93F9C"/>
    <w:rsid w:val="00B9435F"/>
    <w:rsid w:val="00B964B6"/>
    <w:rsid w:val="00BA2199"/>
    <w:rsid w:val="00BB01CC"/>
    <w:rsid w:val="00BB40E5"/>
    <w:rsid w:val="00BC7ADB"/>
    <w:rsid w:val="00BD02C6"/>
    <w:rsid w:val="00BD1A9D"/>
    <w:rsid w:val="00BD5BD8"/>
    <w:rsid w:val="00BF02E7"/>
    <w:rsid w:val="00BF41D8"/>
    <w:rsid w:val="00BF5BF3"/>
    <w:rsid w:val="00BF5F1E"/>
    <w:rsid w:val="00BF75AA"/>
    <w:rsid w:val="00C02901"/>
    <w:rsid w:val="00C037C4"/>
    <w:rsid w:val="00C110CF"/>
    <w:rsid w:val="00C1599E"/>
    <w:rsid w:val="00C23CD4"/>
    <w:rsid w:val="00C26B6F"/>
    <w:rsid w:val="00C27B92"/>
    <w:rsid w:val="00C3060C"/>
    <w:rsid w:val="00C33BBA"/>
    <w:rsid w:val="00C34668"/>
    <w:rsid w:val="00C40703"/>
    <w:rsid w:val="00C51B8D"/>
    <w:rsid w:val="00C54C33"/>
    <w:rsid w:val="00C617BB"/>
    <w:rsid w:val="00C6400F"/>
    <w:rsid w:val="00C64D94"/>
    <w:rsid w:val="00C727DC"/>
    <w:rsid w:val="00C7440A"/>
    <w:rsid w:val="00C76183"/>
    <w:rsid w:val="00C845B4"/>
    <w:rsid w:val="00C854C8"/>
    <w:rsid w:val="00C907E0"/>
    <w:rsid w:val="00C935BA"/>
    <w:rsid w:val="00C96B89"/>
    <w:rsid w:val="00C9737C"/>
    <w:rsid w:val="00CA1ED5"/>
    <w:rsid w:val="00CA315F"/>
    <w:rsid w:val="00CA6B47"/>
    <w:rsid w:val="00CB2BCB"/>
    <w:rsid w:val="00CB3A8C"/>
    <w:rsid w:val="00CB7376"/>
    <w:rsid w:val="00CC75C8"/>
    <w:rsid w:val="00CE3686"/>
    <w:rsid w:val="00CE5A9D"/>
    <w:rsid w:val="00CE7926"/>
    <w:rsid w:val="00CF2BEA"/>
    <w:rsid w:val="00CF592B"/>
    <w:rsid w:val="00D026D1"/>
    <w:rsid w:val="00D055BB"/>
    <w:rsid w:val="00D07DF1"/>
    <w:rsid w:val="00D15A2A"/>
    <w:rsid w:val="00D244BF"/>
    <w:rsid w:val="00D258F7"/>
    <w:rsid w:val="00D26558"/>
    <w:rsid w:val="00D35071"/>
    <w:rsid w:val="00D4288B"/>
    <w:rsid w:val="00D44E9F"/>
    <w:rsid w:val="00D461DD"/>
    <w:rsid w:val="00D60C7C"/>
    <w:rsid w:val="00D6198D"/>
    <w:rsid w:val="00D77990"/>
    <w:rsid w:val="00D83DF0"/>
    <w:rsid w:val="00D857BC"/>
    <w:rsid w:val="00D90131"/>
    <w:rsid w:val="00D96739"/>
    <w:rsid w:val="00DA7145"/>
    <w:rsid w:val="00DB3275"/>
    <w:rsid w:val="00DB4DF3"/>
    <w:rsid w:val="00DD0952"/>
    <w:rsid w:val="00DD3E8C"/>
    <w:rsid w:val="00DE0048"/>
    <w:rsid w:val="00DE335A"/>
    <w:rsid w:val="00DE36AB"/>
    <w:rsid w:val="00DE6CF8"/>
    <w:rsid w:val="00DF1581"/>
    <w:rsid w:val="00DF1702"/>
    <w:rsid w:val="00DF3C18"/>
    <w:rsid w:val="00DF409A"/>
    <w:rsid w:val="00DF6150"/>
    <w:rsid w:val="00DF785F"/>
    <w:rsid w:val="00E03A91"/>
    <w:rsid w:val="00E04D32"/>
    <w:rsid w:val="00E100E0"/>
    <w:rsid w:val="00E26135"/>
    <w:rsid w:val="00E36152"/>
    <w:rsid w:val="00E60764"/>
    <w:rsid w:val="00E63E5E"/>
    <w:rsid w:val="00E645BF"/>
    <w:rsid w:val="00E844D1"/>
    <w:rsid w:val="00E92373"/>
    <w:rsid w:val="00E97762"/>
    <w:rsid w:val="00E97E32"/>
    <w:rsid w:val="00E97FE8"/>
    <w:rsid w:val="00EA2FCA"/>
    <w:rsid w:val="00EA3876"/>
    <w:rsid w:val="00EB7013"/>
    <w:rsid w:val="00ED4452"/>
    <w:rsid w:val="00ED4720"/>
    <w:rsid w:val="00EE5E90"/>
    <w:rsid w:val="00EF063B"/>
    <w:rsid w:val="00EF6930"/>
    <w:rsid w:val="00F00341"/>
    <w:rsid w:val="00F02635"/>
    <w:rsid w:val="00F03280"/>
    <w:rsid w:val="00F070B4"/>
    <w:rsid w:val="00F33F90"/>
    <w:rsid w:val="00F37CAE"/>
    <w:rsid w:val="00F44030"/>
    <w:rsid w:val="00F549AE"/>
    <w:rsid w:val="00F60BAF"/>
    <w:rsid w:val="00F73C4F"/>
    <w:rsid w:val="00F77754"/>
    <w:rsid w:val="00F81E96"/>
    <w:rsid w:val="00F82900"/>
    <w:rsid w:val="00F915C8"/>
    <w:rsid w:val="00F9365D"/>
    <w:rsid w:val="00F9577F"/>
    <w:rsid w:val="00F964BA"/>
    <w:rsid w:val="00F9710B"/>
    <w:rsid w:val="00FA1449"/>
    <w:rsid w:val="00FB5820"/>
    <w:rsid w:val="00FB7575"/>
    <w:rsid w:val="00FC1D12"/>
    <w:rsid w:val="00FC476F"/>
    <w:rsid w:val="00FD16A7"/>
    <w:rsid w:val="00FE03FA"/>
    <w:rsid w:val="00FE29DA"/>
    <w:rsid w:val="00FF2124"/>
    <w:rsid w:val="00FF33C8"/>
    <w:rsid w:val="00FF5E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C897A"/>
  <w15:chartTrackingRefBased/>
  <w15:docId w15:val="{42749A6F-7C49-0442-86F6-96EDCCE4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sid w:val="003D6EB5"/>
    <w:rPr>
      <w:rFonts w:ascii="Times New Roman" w:eastAsia="Times New Roman" w:hAnsi="Times New Roman" w:cs="Times New Roman"/>
      <w:kern w:val="0"/>
      <w14:ligatures w14:val="none"/>
    </w:rPr>
  </w:style>
  <w:style w:type="paragraph" w:styleId="1">
    <w:name w:val="heading 1"/>
    <w:aliases w:val="Heading level 1"/>
    <w:basedOn w:val="a"/>
    <w:next w:val="a"/>
    <w:link w:val="10"/>
    <w:uiPriority w:val="9"/>
    <w:qFormat/>
    <w:rsid w:val="003D6EB5"/>
    <w:pPr>
      <w:keepNext/>
      <w:keepLines/>
      <w:adjustRightInd w:val="0"/>
      <w:snapToGrid w:val="0"/>
      <w:spacing w:before="360" w:after="360"/>
      <w:jc w:val="both"/>
      <w:outlineLvl w:val="0"/>
    </w:pPr>
    <w:rPr>
      <w:b/>
      <w:bCs/>
      <w:noProof/>
      <w:color w:val="000000"/>
      <w:kern w:val="44"/>
      <w:lang w:eastAsia="zh-CN"/>
    </w:rPr>
  </w:style>
  <w:style w:type="paragraph" w:styleId="2">
    <w:name w:val="heading 2"/>
    <w:aliases w:val="Heading level 2"/>
    <w:basedOn w:val="a"/>
    <w:next w:val="a"/>
    <w:link w:val="20"/>
    <w:uiPriority w:val="9"/>
    <w:qFormat/>
    <w:rsid w:val="003D6EB5"/>
    <w:pPr>
      <w:keepNext/>
      <w:keepLines/>
      <w:adjustRightInd w:val="0"/>
      <w:snapToGrid w:val="0"/>
      <w:spacing w:before="240" w:after="240"/>
      <w:jc w:val="both"/>
      <w:outlineLvl w:val="1"/>
    </w:pPr>
    <w:rPr>
      <w:b/>
      <w:bCs/>
      <w:i/>
      <w:noProof/>
      <w:color w:val="000000"/>
      <w:sz w:val="21"/>
      <w:szCs w:val="21"/>
      <w:lang w:eastAsia="zh-CN"/>
    </w:rPr>
  </w:style>
  <w:style w:type="paragraph" w:styleId="3">
    <w:name w:val="heading 3"/>
    <w:aliases w:val="Heading level 3"/>
    <w:basedOn w:val="a"/>
    <w:next w:val="a"/>
    <w:link w:val="30"/>
    <w:uiPriority w:val="9"/>
    <w:qFormat/>
    <w:rsid w:val="003D6EB5"/>
    <w:pPr>
      <w:keepNext/>
      <w:keepLines/>
      <w:adjustRightInd w:val="0"/>
      <w:snapToGrid w:val="0"/>
      <w:spacing w:before="160" w:after="160"/>
      <w:jc w:val="both"/>
      <w:outlineLvl w:val="2"/>
    </w:pPr>
    <w:rPr>
      <w:bCs/>
      <w:i/>
      <w:noProof/>
      <w:color w:val="000000"/>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qFormat/>
    <w:rsid w:val="00D90131"/>
    <w:pPr>
      <w:spacing w:after="200"/>
    </w:pPr>
    <w:rPr>
      <w:i/>
      <w:iCs/>
      <w:color w:val="44546A" w:themeColor="text2"/>
      <w:sz w:val="18"/>
      <w:szCs w:val="18"/>
    </w:rPr>
  </w:style>
  <w:style w:type="table" w:styleId="a4">
    <w:name w:val="Table Grid"/>
    <w:basedOn w:val="a1"/>
    <w:uiPriority w:val="39"/>
    <w:rsid w:val="0091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rsid w:val="009107FA"/>
    <w:rPr>
      <w:color w:val="0563C1" w:themeColor="hyperlink"/>
      <w:u w:val="single"/>
    </w:rPr>
  </w:style>
  <w:style w:type="character" w:customStyle="1" w:styleId="UnresolvedMention">
    <w:name w:val="Unresolved Mention"/>
    <w:basedOn w:val="a0"/>
    <w:uiPriority w:val="99"/>
    <w:semiHidden/>
    <w:unhideWhenUsed/>
    <w:rsid w:val="009107FA"/>
    <w:rPr>
      <w:color w:val="605E5C"/>
      <w:shd w:val="clear" w:color="auto" w:fill="E1DFDD"/>
    </w:rPr>
  </w:style>
  <w:style w:type="paragraph" w:styleId="a6">
    <w:name w:val="Revision"/>
    <w:hidden/>
    <w:uiPriority w:val="99"/>
    <w:semiHidden/>
    <w:rsid w:val="008F5D51"/>
    <w:rPr>
      <w:rFonts w:ascii="Times New Roman" w:eastAsia="Times New Roman" w:hAnsi="Times New Roman" w:cs="Times New Roman"/>
      <w:kern w:val="0"/>
      <w14:ligatures w14:val="none"/>
    </w:rPr>
  </w:style>
  <w:style w:type="paragraph" w:styleId="a7">
    <w:name w:val="header"/>
    <w:basedOn w:val="a"/>
    <w:link w:val="a8"/>
    <w:uiPriority w:val="99"/>
    <w:semiHidden/>
    <w:rsid w:val="003D6EB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3D6EB5"/>
    <w:rPr>
      <w:rFonts w:ascii="Times New Roman" w:eastAsia="Times New Roman" w:hAnsi="Times New Roman" w:cs="Times New Roman"/>
      <w:kern w:val="0"/>
      <w:sz w:val="18"/>
      <w:szCs w:val="18"/>
      <w14:ligatures w14:val="none"/>
    </w:rPr>
  </w:style>
  <w:style w:type="paragraph" w:styleId="a9">
    <w:name w:val="footer"/>
    <w:basedOn w:val="a"/>
    <w:link w:val="aa"/>
    <w:uiPriority w:val="99"/>
    <w:semiHidden/>
    <w:rsid w:val="003D6EB5"/>
    <w:pPr>
      <w:tabs>
        <w:tab w:val="center" w:pos="4153"/>
        <w:tab w:val="right" w:pos="8306"/>
      </w:tabs>
      <w:snapToGrid w:val="0"/>
    </w:pPr>
    <w:rPr>
      <w:sz w:val="18"/>
      <w:szCs w:val="18"/>
    </w:rPr>
  </w:style>
  <w:style w:type="character" w:customStyle="1" w:styleId="aa">
    <w:name w:val="页脚 字符"/>
    <w:basedOn w:val="a0"/>
    <w:link w:val="a9"/>
    <w:uiPriority w:val="99"/>
    <w:semiHidden/>
    <w:rsid w:val="003D6EB5"/>
    <w:rPr>
      <w:rFonts w:ascii="Times New Roman" w:eastAsia="Times New Roman" w:hAnsi="Times New Roman" w:cs="Times New Roman"/>
      <w:kern w:val="0"/>
      <w:sz w:val="18"/>
      <w:szCs w:val="18"/>
      <w14:ligatures w14:val="none"/>
    </w:rPr>
  </w:style>
  <w:style w:type="paragraph" w:customStyle="1" w:styleId="Abstract">
    <w:name w:val="Abstract"/>
    <w:next w:val="a"/>
    <w:uiPriority w:val="5"/>
    <w:qFormat/>
    <w:rsid w:val="003D6EB5"/>
    <w:pPr>
      <w:jc w:val="both"/>
    </w:pPr>
    <w:rPr>
      <w:rFonts w:ascii="Times New Roman" w:eastAsia="Times New Roman" w:hAnsi="Times New Roman" w:cs="Times New Roman"/>
      <w:color w:val="000000"/>
      <w:kern w:val="0"/>
      <w:sz w:val="21"/>
      <w:szCs w:val="21"/>
      <w:lang w:eastAsia="de-DE" w:bidi="en-US"/>
      <w14:ligatures w14:val="none"/>
    </w:rPr>
  </w:style>
  <w:style w:type="paragraph" w:customStyle="1" w:styleId="Academiceditor">
    <w:name w:val="Academic editor"/>
    <w:uiPriority w:val="4"/>
    <w:qFormat/>
    <w:rsid w:val="003D6EB5"/>
    <w:pPr>
      <w:jc w:val="both"/>
    </w:pPr>
    <w:rPr>
      <w:rFonts w:ascii="Times New Roman" w:eastAsia="Times New Roman" w:hAnsi="Times New Roman" w:cs="Times New Roman"/>
      <w:color w:val="000000"/>
      <w:kern w:val="0"/>
      <w:sz w:val="21"/>
      <w:szCs w:val="21"/>
      <w:lang w:eastAsia="de-DE" w:bidi="en-US"/>
      <w14:ligatures w14:val="none"/>
    </w:rPr>
  </w:style>
  <w:style w:type="paragraph" w:customStyle="1" w:styleId="Affiliation">
    <w:name w:val="Affiliation"/>
    <w:uiPriority w:val="3"/>
    <w:qFormat/>
    <w:rsid w:val="003D6EB5"/>
    <w:pPr>
      <w:jc w:val="both"/>
    </w:pPr>
    <w:rPr>
      <w:rFonts w:ascii="Times New Roman" w:eastAsia="Times New Roman" w:hAnsi="Times New Roman" w:cs="Times New Roman"/>
      <w:color w:val="000000"/>
      <w:kern w:val="0"/>
      <w:sz w:val="21"/>
      <w:szCs w:val="21"/>
      <w:lang w:eastAsia="de-DE" w:bidi="en-US"/>
      <w14:ligatures w14:val="none"/>
    </w:rPr>
  </w:style>
  <w:style w:type="paragraph" w:customStyle="1" w:styleId="Articletitle">
    <w:name w:val="Article title"/>
    <w:next w:val="a"/>
    <w:uiPriority w:val="1"/>
    <w:qFormat/>
    <w:rsid w:val="003D6EB5"/>
    <w:pPr>
      <w:adjustRightInd w:val="0"/>
      <w:snapToGrid w:val="0"/>
      <w:jc w:val="both"/>
    </w:pPr>
    <w:rPr>
      <w:rFonts w:ascii="Times New Roman" w:eastAsia="Times New Roman" w:hAnsi="Times New Roman" w:cs="Times New Roman"/>
      <w:b/>
      <w:snapToGrid w:val="0"/>
      <w:color w:val="000000"/>
      <w:kern w:val="0"/>
      <w:sz w:val="36"/>
      <w:szCs w:val="20"/>
      <w:lang w:eastAsia="de-DE" w:bidi="en-US"/>
      <w14:ligatures w14:val="none"/>
    </w:rPr>
  </w:style>
  <w:style w:type="paragraph" w:customStyle="1" w:styleId="Articletype">
    <w:name w:val="Article type"/>
    <w:next w:val="a"/>
    <w:qFormat/>
    <w:rsid w:val="003D6EB5"/>
    <w:pPr>
      <w:adjustRightInd w:val="0"/>
      <w:snapToGrid w:val="0"/>
    </w:pPr>
    <w:rPr>
      <w:rFonts w:ascii="Times New Roman" w:eastAsia="Times New Roman" w:hAnsi="Times New Roman" w:cs="Times New Roman"/>
      <w:i/>
      <w:snapToGrid w:val="0"/>
      <w:color w:val="000000"/>
      <w:kern w:val="0"/>
      <w:sz w:val="20"/>
      <w:szCs w:val="22"/>
      <w:lang w:eastAsia="de-DE" w:bidi="en-US"/>
      <w14:ligatures w14:val="none"/>
    </w:rPr>
  </w:style>
  <w:style w:type="paragraph" w:customStyle="1" w:styleId="Authornames">
    <w:name w:val="Authornames"/>
    <w:next w:val="a"/>
    <w:uiPriority w:val="2"/>
    <w:qFormat/>
    <w:rsid w:val="003D6EB5"/>
    <w:pPr>
      <w:jc w:val="both"/>
    </w:pPr>
    <w:rPr>
      <w:rFonts w:ascii="Times New Roman" w:eastAsia="Times New Roman" w:hAnsi="Times New Roman" w:cs="Times New Roman"/>
      <w:color w:val="000000"/>
      <w:kern w:val="0"/>
      <w:sz w:val="21"/>
      <w:szCs w:val="21"/>
      <w:lang w:eastAsia="de-DE" w:bidi="en-US"/>
      <w14:ligatures w14:val="none"/>
    </w:rPr>
  </w:style>
  <w:style w:type="paragraph" w:customStyle="1" w:styleId="Backmatter">
    <w:name w:val="Back matter"/>
    <w:uiPriority w:val="18"/>
    <w:qFormat/>
    <w:rsid w:val="003D6EB5"/>
    <w:pPr>
      <w:adjustRightInd w:val="0"/>
      <w:snapToGrid w:val="0"/>
      <w:spacing w:beforeLines="50" w:before="50" w:afterLines="50" w:after="50"/>
      <w:jc w:val="both"/>
    </w:pPr>
    <w:rPr>
      <w:rFonts w:ascii="Times New Roman" w:eastAsia="Times New Roman" w:hAnsi="Times New Roman" w:cs="Times New Roman"/>
      <w:b/>
      <w:snapToGrid w:val="0"/>
      <w:color w:val="000000"/>
      <w:kern w:val="0"/>
      <w:lang w:bidi="en-US"/>
      <w14:ligatures w14:val="none"/>
    </w:rPr>
  </w:style>
  <w:style w:type="paragraph" w:customStyle="1" w:styleId="Bullet">
    <w:name w:val="Bullet"/>
    <w:uiPriority w:val="16"/>
    <w:qFormat/>
    <w:rsid w:val="003D6EB5"/>
    <w:pPr>
      <w:adjustRightInd w:val="0"/>
      <w:snapToGrid w:val="0"/>
      <w:spacing w:before="40" w:after="40"/>
      <w:ind w:left="3033" w:hangingChars="200" w:hanging="200"/>
      <w:jc w:val="both"/>
    </w:pPr>
    <w:rPr>
      <w:rFonts w:ascii="Times New Roman" w:eastAsia="Times New Roman" w:hAnsi="Times New Roman" w:cs="Times New Roman"/>
      <w:color w:val="000000"/>
      <w:kern w:val="0"/>
      <w:sz w:val="21"/>
      <w:szCs w:val="21"/>
      <w:lang w:eastAsia="de-DE" w:bidi="en-US"/>
      <w14:ligatures w14:val="none"/>
    </w:rPr>
  </w:style>
  <w:style w:type="paragraph" w:customStyle="1" w:styleId="E-mail">
    <w:name w:val="E-mail"/>
    <w:link w:val="E-mail0"/>
    <w:uiPriority w:val="4"/>
    <w:qFormat/>
    <w:rsid w:val="003D6EB5"/>
    <w:rPr>
      <w:rFonts w:ascii="Times New Roman" w:eastAsia="Times New Roman" w:hAnsi="Times New Roman" w:cs="Times New Roman"/>
      <w:snapToGrid w:val="0"/>
      <w:color w:val="000000"/>
      <w:kern w:val="0"/>
      <w:sz w:val="21"/>
      <w:szCs w:val="21"/>
      <w:lang w:eastAsia="de-DE" w:bidi="en-US"/>
      <w14:ligatures w14:val="none"/>
    </w:rPr>
  </w:style>
  <w:style w:type="character" w:customStyle="1" w:styleId="E-mail0">
    <w:name w:val="E-mail 字符"/>
    <w:basedOn w:val="a0"/>
    <w:link w:val="E-mail"/>
    <w:uiPriority w:val="4"/>
    <w:rsid w:val="003D6EB5"/>
    <w:rPr>
      <w:rFonts w:ascii="Times New Roman" w:eastAsia="Times New Roman" w:hAnsi="Times New Roman" w:cs="Times New Roman"/>
      <w:snapToGrid w:val="0"/>
      <w:color w:val="000000"/>
      <w:kern w:val="0"/>
      <w:sz w:val="21"/>
      <w:szCs w:val="21"/>
      <w:lang w:eastAsia="de-DE" w:bidi="en-US"/>
      <w14:ligatures w14:val="none"/>
    </w:rPr>
  </w:style>
  <w:style w:type="paragraph" w:customStyle="1" w:styleId="Equation">
    <w:name w:val="Equation"/>
    <w:uiPriority w:val="17"/>
    <w:qFormat/>
    <w:rsid w:val="003D6EB5"/>
    <w:pPr>
      <w:adjustRightInd w:val="0"/>
      <w:snapToGrid w:val="0"/>
      <w:spacing w:before="60" w:after="60"/>
      <w:ind w:left="709"/>
      <w:jc w:val="center"/>
    </w:pPr>
    <w:rPr>
      <w:rFonts w:ascii="Times New Roman" w:eastAsia="Times New Roman" w:hAnsi="Times New Roman" w:cs="Times New Roman"/>
      <w:snapToGrid w:val="0"/>
      <w:color w:val="000000"/>
      <w:kern w:val="0"/>
      <w:sz w:val="21"/>
      <w:szCs w:val="21"/>
      <w:lang w:eastAsia="de-DE" w:bidi="en-US"/>
      <w14:ligatures w14:val="none"/>
    </w:rPr>
  </w:style>
  <w:style w:type="paragraph" w:customStyle="1" w:styleId="Figure">
    <w:name w:val="Figure"/>
    <w:uiPriority w:val="15"/>
    <w:qFormat/>
    <w:rsid w:val="003D6EB5"/>
    <w:pPr>
      <w:adjustRightInd w:val="0"/>
      <w:snapToGrid w:val="0"/>
      <w:jc w:val="center"/>
    </w:pPr>
    <w:rPr>
      <w:rFonts w:ascii="Times New Roman" w:eastAsia="Times New Roman" w:hAnsi="Times New Roman" w:cs="Times New Roman"/>
      <w:snapToGrid w:val="0"/>
      <w:color w:val="000000"/>
      <w:kern w:val="0"/>
      <w:sz w:val="21"/>
      <w:szCs w:val="21"/>
      <w:lang w:eastAsia="de-DE" w:bidi="en-US"/>
      <w14:ligatures w14:val="none"/>
    </w:rPr>
  </w:style>
  <w:style w:type="paragraph" w:customStyle="1" w:styleId="Figurecaption">
    <w:name w:val="Figure caption"/>
    <w:uiPriority w:val="14"/>
    <w:qFormat/>
    <w:rsid w:val="003D6EB5"/>
    <w:pPr>
      <w:jc w:val="both"/>
    </w:pPr>
    <w:rPr>
      <w:rFonts w:ascii="Times New Roman" w:eastAsia="Times New Roman" w:hAnsi="Times New Roman" w:cs="Times New Roman"/>
      <w:color w:val="000000"/>
      <w:kern w:val="0"/>
      <w:sz w:val="21"/>
      <w:szCs w:val="21"/>
      <w:lang w:eastAsia="de-DE" w:bidi="en-US"/>
      <w14:ligatures w14:val="none"/>
    </w:rPr>
  </w:style>
  <w:style w:type="paragraph" w:customStyle="1" w:styleId="Figuretitle">
    <w:name w:val="Figure title"/>
    <w:uiPriority w:val="13"/>
    <w:rsid w:val="003D6EB5"/>
    <w:pPr>
      <w:adjustRightInd w:val="0"/>
      <w:snapToGrid w:val="0"/>
      <w:spacing w:after="100" w:afterAutospacing="1"/>
      <w:jc w:val="center"/>
    </w:pPr>
    <w:rPr>
      <w:rFonts w:ascii="Times New Roman" w:eastAsia="Times New Roman" w:hAnsi="Times New Roman" w:cs="Times New Roman"/>
      <w:b/>
      <w:noProof/>
      <w:color w:val="000000"/>
      <w:kern w:val="0"/>
      <w:sz w:val="21"/>
      <w:szCs w:val="21"/>
      <w:lang w:eastAsia="zh-CN" w:bidi="en-US"/>
      <w14:ligatures w14:val="none"/>
    </w:rPr>
  </w:style>
  <w:style w:type="paragraph" w:customStyle="1" w:styleId="Keywords">
    <w:name w:val="Keywords"/>
    <w:next w:val="a"/>
    <w:link w:val="Keywords0"/>
    <w:uiPriority w:val="6"/>
    <w:qFormat/>
    <w:rsid w:val="003D6EB5"/>
    <w:pPr>
      <w:adjustRightInd w:val="0"/>
      <w:snapToGrid w:val="0"/>
      <w:jc w:val="both"/>
    </w:pPr>
    <w:rPr>
      <w:rFonts w:ascii="Times New Roman" w:eastAsia="Times New Roman" w:hAnsi="Times New Roman" w:cs="Times New Roman"/>
      <w:snapToGrid w:val="0"/>
      <w:color w:val="000000"/>
      <w:kern w:val="0"/>
      <w:sz w:val="21"/>
      <w:szCs w:val="21"/>
      <w:lang w:eastAsia="de-DE" w:bidi="en-US"/>
      <w14:ligatures w14:val="none"/>
    </w:rPr>
  </w:style>
  <w:style w:type="character" w:customStyle="1" w:styleId="Keywords0">
    <w:name w:val="Keywords 字符"/>
    <w:basedOn w:val="a0"/>
    <w:link w:val="Keywords"/>
    <w:uiPriority w:val="6"/>
    <w:rsid w:val="003D6EB5"/>
    <w:rPr>
      <w:rFonts w:ascii="Times New Roman" w:eastAsia="Times New Roman" w:hAnsi="Times New Roman" w:cs="Times New Roman"/>
      <w:snapToGrid w:val="0"/>
      <w:color w:val="000000"/>
      <w:kern w:val="0"/>
      <w:sz w:val="21"/>
      <w:szCs w:val="21"/>
      <w:lang w:eastAsia="de-DE" w:bidi="en-US"/>
      <w14:ligatures w14:val="none"/>
    </w:rPr>
  </w:style>
  <w:style w:type="paragraph" w:customStyle="1" w:styleId="Reference">
    <w:name w:val="Reference"/>
    <w:link w:val="Reference0"/>
    <w:uiPriority w:val="19"/>
    <w:qFormat/>
    <w:rsid w:val="003D6EB5"/>
    <w:pPr>
      <w:ind w:left="200" w:hangingChars="200" w:hanging="200"/>
      <w:jc w:val="both"/>
    </w:pPr>
    <w:rPr>
      <w:rFonts w:ascii="Times New Roman" w:eastAsia="Times New Roman" w:hAnsi="Times New Roman" w:cs="Times New Roman"/>
      <w:snapToGrid w:val="0"/>
      <w:color w:val="000000"/>
      <w:kern w:val="0"/>
      <w:sz w:val="18"/>
      <w:szCs w:val="21"/>
      <w:lang w:eastAsia="de-DE" w:bidi="en-US"/>
      <w14:ligatures w14:val="none"/>
    </w:rPr>
  </w:style>
  <w:style w:type="character" w:customStyle="1" w:styleId="Reference0">
    <w:name w:val="Reference 字符"/>
    <w:basedOn w:val="Keywords0"/>
    <w:link w:val="Reference"/>
    <w:uiPriority w:val="19"/>
    <w:rsid w:val="003D6EB5"/>
    <w:rPr>
      <w:rFonts w:ascii="Times New Roman" w:eastAsia="Times New Roman" w:hAnsi="Times New Roman" w:cs="Times New Roman"/>
      <w:snapToGrid w:val="0"/>
      <w:color w:val="000000"/>
      <w:kern w:val="0"/>
      <w:sz w:val="18"/>
      <w:szCs w:val="21"/>
      <w:lang w:eastAsia="de-DE" w:bidi="en-US"/>
      <w14:ligatures w14:val="none"/>
    </w:rPr>
  </w:style>
  <w:style w:type="paragraph" w:customStyle="1" w:styleId="Tablebody">
    <w:name w:val="Table body"/>
    <w:uiPriority w:val="11"/>
    <w:qFormat/>
    <w:rsid w:val="003D6EB5"/>
    <w:pPr>
      <w:jc w:val="both"/>
    </w:pPr>
    <w:rPr>
      <w:rFonts w:ascii="Times New Roman" w:eastAsia="Times New Roman" w:hAnsi="Times New Roman" w:cs="Times New Roman"/>
      <w:snapToGrid w:val="0"/>
      <w:color w:val="000000"/>
      <w:kern w:val="0"/>
      <w:sz w:val="21"/>
      <w:szCs w:val="21"/>
      <w:lang w:eastAsia="de-DE" w:bidi="en-US"/>
      <w14:ligatures w14:val="none"/>
    </w:rPr>
  </w:style>
  <w:style w:type="paragraph" w:customStyle="1" w:styleId="Tablecaption">
    <w:name w:val="Table caption"/>
    <w:uiPriority w:val="11"/>
    <w:qFormat/>
    <w:rsid w:val="003D6EB5"/>
    <w:pPr>
      <w:adjustRightInd w:val="0"/>
      <w:snapToGrid w:val="0"/>
      <w:spacing w:beforeLines="100" w:before="100" w:afterLines="100" w:after="100"/>
      <w:jc w:val="center"/>
    </w:pPr>
    <w:rPr>
      <w:rFonts w:ascii="Times New Roman" w:eastAsia="Times New Roman" w:hAnsi="Times New Roman" w:cs="Times New Roman"/>
      <w:b/>
      <w:noProof/>
      <w:color w:val="000000"/>
      <w:kern w:val="0"/>
      <w:sz w:val="21"/>
      <w:lang w:eastAsia="zh-CN" w:bidi="en-US"/>
      <w14:ligatures w14:val="none"/>
    </w:rPr>
  </w:style>
  <w:style w:type="paragraph" w:customStyle="1" w:styleId="Tablefooter">
    <w:name w:val="Table footer"/>
    <w:next w:val="a"/>
    <w:uiPriority w:val="12"/>
    <w:qFormat/>
    <w:rsid w:val="003D6EB5"/>
    <w:pPr>
      <w:jc w:val="both"/>
    </w:pPr>
    <w:rPr>
      <w:rFonts w:ascii="Times New Roman" w:eastAsia="Times New Roman" w:hAnsi="Times New Roman" w:cs="Times New Roman"/>
      <w:color w:val="000000"/>
      <w:kern w:val="0"/>
      <w:sz w:val="21"/>
      <w:szCs w:val="21"/>
      <w:lang w:eastAsia="de-DE" w:bidi="en-US"/>
      <w14:ligatures w14:val="none"/>
    </w:rPr>
  </w:style>
  <w:style w:type="paragraph" w:customStyle="1" w:styleId="Text">
    <w:name w:val="Text"/>
    <w:link w:val="Text0"/>
    <w:uiPriority w:val="10"/>
    <w:qFormat/>
    <w:rsid w:val="003D6EB5"/>
    <w:pPr>
      <w:ind w:firstLineChars="200" w:firstLine="200"/>
      <w:jc w:val="both"/>
    </w:pPr>
    <w:rPr>
      <w:rFonts w:ascii="Times New Roman" w:eastAsia="Times New Roman" w:hAnsi="Times New Roman" w:cs="Times New Roman"/>
      <w:snapToGrid w:val="0"/>
      <w:color w:val="000000"/>
      <w:kern w:val="0"/>
      <w:sz w:val="21"/>
      <w:szCs w:val="28"/>
      <w:lang w:eastAsia="de-DE" w:bidi="en-US"/>
      <w14:ligatures w14:val="none"/>
    </w:rPr>
  </w:style>
  <w:style w:type="character" w:customStyle="1" w:styleId="Text0">
    <w:name w:val="Text 字符"/>
    <w:basedOn w:val="a0"/>
    <w:link w:val="Text"/>
    <w:uiPriority w:val="10"/>
    <w:rsid w:val="003D6EB5"/>
    <w:rPr>
      <w:rFonts w:ascii="Times New Roman" w:eastAsia="Times New Roman" w:hAnsi="Times New Roman" w:cs="Times New Roman"/>
      <w:snapToGrid w:val="0"/>
      <w:color w:val="000000"/>
      <w:kern w:val="0"/>
      <w:sz w:val="21"/>
      <w:szCs w:val="28"/>
      <w:lang w:eastAsia="de-DE" w:bidi="en-US"/>
      <w14:ligatures w14:val="none"/>
    </w:rPr>
  </w:style>
  <w:style w:type="character" w:customStyle="1" w:styleId="10">
    <w:name w:val="标题 1 字符"/>
    <w:aliases w:val="Heading level 1 字符"/>
    <w:basedOn w:val="a0"/>
    <w:link w:val="1"/>
    <w:uiPriority w:val="9"/>
    <w:rsid w:val="003D6EB5"/>
    <w:rPr>
      <w:rFonts w:ascii="Times New Roman" w:eastAsia="Times New Roman" w:hAnsi="Times New Roman" w:cs="Times New Roman"/>
      <w:b/>
      <w:bCs/>
      <w:noProof/>
      <w:color w:val="000000"/>
      <w:kern w:val="44"/>
      <w:lang w:eastAsia="zh-CN"/>
      <w14:ligatures w14:val="none"/>
    </w:rPr>
  </w:style>
  <w:style w:type="character" w:customStyle="1" w:styleId="20">
    <w:name w:val="标题 2 字符"/>
    <w:aliases w:val="Heading level 2 字符"/>
    <w:basedOn w:val="a0"/>
    <w:link w:val="2"/>
    <w:uiPriority w:val="9"/>
    <w:rsid w:val="003D6EB5"/>
    <w:rPr>
      <w:rFonts w:ascii="Times New Roman" w:eastAsia="Times New Roman" w:hAnsi="Times New Roman" w:cs="Times New Roman"/>
      <w:b/>
      <w:bCs/>
      <w:i/>
      <w:noProof/>
      <w:color w:val="000000"/>
      <w:kern w:val="0"/>
      <w:sz w:val="21"/>
      <w:szCs w:val="21"/>
      <w:lang w:eastAsia="zh-CN"/>
      <w14:ligatures w14:val="none"/>
    </w:rPr>
  </w:style>
  <w:style w:type="character" w:customStyle="1" w:styleId="30">
    <w:name w:val="标题 3 字符"/>
    <w:aliases w:val="Heading level 3 字符"/>
    <w:basedOn w:val="a0"/>
    <w:link w:val="3"/>
    <w:uiPriority w:val="9"/>
    <w:rsid w:val="003D6EB5"/>
    <w:rPr>
      <w:rFonts w:ascii="Times New Roman" w:eastAsia="Times New Roman" w:hAnsi="Times New Roman" w:cs="Times New Roman"/>
      <w:bCs/>
      <w:i/>
      <w:noProof/>
      <w:color w:val="000000"/>
      <w:kern w:val="0"/>
      <w:sz w:val="21"/>
      <w:szCs w:val="2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cheryl</cp:lastModifiedBy>
  <cp:revision>9</cp:revision>
  <dcterms:created xsi:type="dcterms:W3CDTF">2025-02-27T09:03:00Z</dcterms:created>
  <dcterms:modified xsi:type="dcterms:W3CDTF">2025-04-23T01:25:00Z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59b0f16d9832b4ca9fa1e047065552d72b3b1d3cf7fadb8d997546ceb43a28b9</vt:lpwstr>
  </property>
</Properties>
</file>